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7EB" w:rsidRDefault="00CC07EB" w:rsidP="00CC07EB">
      <w:pPr>
        <w:pStyle w:val="a3"/>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CC07EB" w:rsidTr="00CC07EB">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CC07EB" w:rsidRDefault="00CC07EB">
                <w:pPr>
                  <w:pStyle w:val="a3"/>
                  <w:jc w:val="center"/>
                  <w:rPr>
                    <w:rFonts w:ascii="Tahoma" w:hAnsi="Tahoma"/>
                    <w:color w:val="000080"/>
                    <w:sz w:val="32"/>
                    <w:szCs w:val="32"/>
                    <w:rtl/>
                  </w:rPr>
                </w:pPr>
                <w:r>
                  <w:rPr>
                    <w:rFonts w:ascii="Tahoma" w:hAnsi="Tahoma"/>
                    <w:color w:val="000080"/>
                    <w:sz w:val="32"/>
                    <w:szCs w:val="32"/>
                    <w:rtl/>
                  </w:rPr>
                  <w:t>בית משפט לענייני משפחה באילת</w:t>
                </w:r>
              </w:p>
            </w:tc>
          </w:sdtContent>
        </w:sdt>
      </w:tr>
      <w:tr w:rsidR="00CC07EB" w:rsidTr="00CC07EB">
        <w:trPr>
          <w:trHeight w:val="337"/>
          <w:jc w:val="center"/>
        </w:trPr>
        <w:tc>
          <w:tcPr>
            <w:tcW w:w="5047" w:type="dxa"/>
          </w:tcPr>
          <w:p w:rsidR="00CC07EB" w:rsidRDefault="00CC07EB">
            <w:pPr>
              <w:rPr>
                <w:b/>
                <w:bCs/>
                <w:noProof w:val="0"/>
                <w:sz w:val="26"/>
                <w:szCs w:val="26"/>
                <w:rtl/>
              </w:rPr>
            </w:pPr>
          </w:p>
        </w:tc>
        <w:tc>
          <w:tcPr>
            <w:tcW w:w="3674" w:type="dxa"/>
          </w:tcPr>
          <w:p w:rsidR="00CC07EB" w:rsidRDefault="00CC07EB">
            <w:pPr>
              <w:pStyle w:val="a3"/>
              <w:jc w:val="right"/>
              <w:rPr>
                <w:b/>
                <w:bCs/>
                <w:noProof w:val="0"/>
                <w:sz w:val="26"/>
                <w:szCs w:val="26"/>
                <w:rtl/>
              </w:rPr>
            </w:pPr>
          </w:p>
        </w:tc>
      </w:tr>
      <w:tr w:rsidR="00CC07EB" w:rsidTr="00CC07EB">
        <w:trPr>
          <w:trHeight w:val="337"/>
          <w:jc w:val="center"/>
        </w:trPr>
        <w:tc>
          <w:tcPr>
            <w:tcW w:w="8721" w:type="dxa"/>
            <w:gridSpan w:val="2"/>
          </w:tcPr>
          <w:p w:rsidR="00CC07EB" w:rsidRDefault="00CC07EB" w:rsidP="00CC07EB">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24972-03-24 ב</w:t>
            </w:r>
            <w:r>
              <w:rPr>
                <w:rFonts w:hint="cs"/>
                <w:b/>
                <w:bCs/>
                <w:noProof w:val="0"/>
                <w:sz w:val="26"/>
                <w:szCs w:val="26"/>
                <w:rtl/>
              </w:rPr>
              <w:t>.</w:t>
            </w:r>
            <w:r>
              <w:rPr>
                <w:b/>
                <w:bCs/>
                <w:noProof w:val="0"/>
                <w:sz w:val="26"/>
                <w:szCs w:val="26"/>
                <w:rtl/>
              </w:rPr>
              <w:t>ש</w:t>
            </w:r>
            <w:r>
              <w:rPr>
                <w:rFonts w:hint="cs"/>
                <w:b/>
                <w:bCs/>
                <w:noProof w:val="0"/>
                <w:sz w:val="26"/>
                <w:szCs w:val="26"/>
                <w:rtl/>
              </w:rPr>
              <w:t xml:space="preserve">. </w:t>
            </w:r>
            <w:r>
              <w:rPr>
                <w:b/>
                <w:bCs/>
                <w:noProof w:val="0"/>
                <w:sz w:val="26"/>
                <w:szCs w:val="26"/>
                <w:rtl/>
              </w:rPr>
              <w:t>נ' י</w:t>
            </w:r>
            <w:r>
              <w:rPr>
                <w:rFonts w:hint="cs"/>
                <w:b/>
                <w:bCs/>
                <w:noProof w:val="0"/>
                <w:sz w:val="26"/>
                <w:szCs w:val="26"/>
                <w:rtl/>
              </w:rPr>
              <w:t>.</w:t>
            </w:r>
          </w:p>
          <w:p w:rsidR="00CC07EB" w:rsidRDefault="00CC07EB">
            <w:pPr>
              <w:rPr>
                <w:b/>
                <w:bCs/>
                <w:noProof w:val="0"/>
                <w:sz w:val="2"/>
                <w:szCs w:val="2"/>
                <w:rtl/>
              </w:rPr>
            </w:pPr>
          </w:p>
          <w:p w:rsidR="00CC07EB" w:rsidRDefault="00CC07EB">
            <w:pPr>
              <w:rPr>
                <w:sz w:val="20"/>
                <w:szCs w:val="20"/>
                <w:rtl/>
              </w:rPr>
            </w:pPr>
            <w:r>
              <w:rPr>
                <w:rtl/>
              </w:rPr>
              <w:t xml:space="preserve">                           </w:t>
            </w:r>
            <w:r>
              <w:rPr>
                <w:sz w:val="20"/>
                <w:szCs w:val="20"/>
                <w:rtl/>
              </w:rPr>
              <w:t xml:space="preserve">                                       </w:t>
            </w:r>
          </w:p>
          <w:p w:rsidR="00CC07EB" w:rsidRDefault="00CC07EB">
            <w:pPr>
              <w:rPr>
                <w:sz w:val="20"/>
                <w:szCs w:val="20"/>
                <w:rtl/>
              </w:rPr>
            </w:pPr>
          </w:p>
        </w:tc>
      </w:tr>
    </w:tbl>
    <w:p w:rsidR="00CC07EB" w:rsidRDefault="00CC07EB"/>
    <w:p w:rsidR="00CC07EB" w:rsidRDefault="00CC07EB" w:rsidP="00CC07EB">
      <w:pPr>
        <w:suppressLineNumbers/>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CC07EB" w:rsidTr="00CC07EB">
        <w:trPr>
          <w:trHeight w:val="295"/>
          <w:jc w:val="center"/>
        </w:trPr>
        <w:tc>
          <w:tcPr>
            <w:tcW w:w="5049" w:type="dxa"/>
            <w:gridSpan w:val="3"/>
          </w:tcPr>
          <w:p w:rsidR="00CC07EB" w:rsidRDefault="00CC07EB">
            <w:pPr>
              <w:suppressLineNumbers/>
              <w:rPr>
                <w:rFonts w:ascii="Arial" w:hAnsi="Arial"/>
                <w:b/>
                <w:bCs/>
                <w:noProof w:val="0"/>
                <w:sz w:val="26"/>
                <w:szCs w:val="26"/>
                <w:rtl/>
              </w:rPr>
            </w:pPr>
          </w:p>
        </w:tc>
        <w:tc>
          <w:tcPr>
            <w:tcW w:w="3771" w:type="dxa"/>
            <w:hideMark/>
          </w:tcPr>
          <w:p w:rsidR="00CC07EB" w:rsidRDefault="00CC07EB">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3</w:t>
            </w:r>
          </w:p>
        </w:tc>
      </w:tr>
      <w:tr w:rsidR="00CC07EB" w:rsidTr="00CC07EB">
        <w:trPr>
          <w:jc w:val="center"/>
        </w:trPr>
        <w:tc>
          <w:tcPr>
            <w:tcW w:w="743" w:type="dxa"/>
            <w:hideMark/>
          </w:tcPr>
          <w:p w:rsidR="00CC07EB" w:rsidRDefault="00CC07EB">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3"/>
            <w:hideMark/>
          </w:tcPr>
          <w:p w:rsidR="00CC07EB" w:rsidRDefault="00CC07EB">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CC07EB" w:rsidTr="00CC07EB">
        <w:trPr>
          <w:jc w:val="center"/>
        </w:trPr>
        <w:tc>
          <w:tcPr>
            <w:tcW w:w="3249" w:type="dxa"/>
            <w:gridSpan w:val="2"/>
          </w:tcPr>
          <w:p w:rsidR="00CC07EB" w:rsidRDefault="00CC07EB">
            <w:pPr>
              <w:suppressLineNumbers/>
              <w:rPr>
                <w:rFonts w:ascii="Arial" w:hAnsi="Arial"/>
                <w:b/>
                <w:bCs/>
                <w:noProof w:val="0"/>
                <w:sz w:val="26"/>
                <w:szCs w:val="26"/>
              </w:rPr>
            </w:pPr>
          </w:p>
          <w:p w:rsidR="00CC07EB" w:rsidRDefault="00CC07EB">
            <w:pPr>
              <w:suppressLineNumbers/>
              <w:jc w:val="left"/>
              <w:rPr>
                <w:rFonts w:ascii="Arial" w:hAnsi="Arial"/>
                <w:b/>
                <w:bCs/>
                <w:noProof w:val="0"/>
                <w:sz w:val="26"/>
                <w:szCs w:val="26"/>
              </w:rPr>
            </w:pPr>
            <w:r>
              <w:rPr>
                <w:rFonts w:ascii="Arial" w:hAnsi="Arial"/>
                <w:b/>
                <w:bCs/>
                <w:noProof w:val="0"/>
                <w:sz w:val="26"/>
                <w:szCs w:val="26"/>
                <w:rtl/>
              </w:rPr>
              <w:t>מבקשת</w:t>
            </w:r>
          </w:p>
        </w:tc>
        <w:tc>
          <w:tcPr>
            <w:tcW w:w="5571" w:type="dxa"/>
            <w:gridSpan w:val="2"/>
          </w:tcPr>
          <w:p w:rsidR="00CC07EB" w:rsidRDefault="00CC07EB">
            <w:pPr>
              <w:suppressLineNumbers/>
              <w:rPr>
                <w:rFonts w:ascii="Arial" w:hAnsi="Arial"/>
                <w:b/>
                <w:bCs/>
                <w:noProof w:val="0"/>
                <w:sz w:val="26"/>
                <w:szCs w:val="26"/>
                <w:rtl/>
              </w:rPr>
            </w:pPr>
          </w:p>
          <w:p w:rsidR="00CC07EB" w:rsidRDefault="00CC07EB" w:rsidP="00CC07EB">
            <w:pPr>
              <w:suppressLineNumbers/>
              <w:jc w:val="left"/>
              <w:rPr>
                <w:rFonts w:ascii="Arial" w:hAnsi="Arial"/>
                <w:b/>
                <w:bCs/>
                <w:noProof w:val="0"/>
                <w:sz w:val="26"/>
                <w:szCs w:val="26"/>
                <w:rtl/>
              </w:rPr>
            </w:pPr>
            <w:proofErr w:type="spellStart"/>
            <w:r>
              <w:rPr>
                <w:rFonts w:ascii="Arial" w:hAnsi="Arial"/>
                <w:b/>
                <w:bCs/>
                <w:noProof w:val="0"/>
                <w:sz w:val="26"/>
                <w:szCs w:val="26"/>
                <w:rtl/>
              </w:rPr>
              <w:t>ע</w:t>
            </w:r>
            <w:r>
              <w:rPr>
                <w:rFonts w:ascii="Arial" w:hAnsi="Arial" w:hint="cs"/>
                <w:b/>
                <w:bCs/>
                <w:noProof w:val="0"/>
                <w:sz w:val="26"/>
                <w:szCs w:val="26"/>
                <w:rtl/>
              </w:rPr>
              <w:t>.</w:t>
            </w:r>
            <w:r>
              <w:rPr>
                <w:rFonts w:ascii="Arial" w:hAnsi="Arial"/>
                <w:b/>
                <w:bCs/>
                <w:noProof w:val="0"/>
                <w:sz w:val="26"/>
                <w:szCs w:val="26"/>
                <w:rtl/>
              </w:rPr>
              <w:t>ב</w:t>
            </w:r>
            <w:r>
              <w:rPr>
                <w:rFonts w:ascii="Arial" w:hAnsi="Arial" w:hint="cs"/>
                <w:b/>
                <w:bCs/>
                <w:noProof w:val="0"/>
                <w:sz w:val="26"/>
                <w:szCs w:val="26"/>
                <w:rtl/>
              </w:rPr>
              <w:t>.</w:t>
            </w:r>
            <w:r>
              <w:rPr>
                <w:rFonts w:ascii="Arial" w:hAnsi="Arial"/>
                <w:b/>
                <w:bCs/>
                <w:noProof w:val="0"/>
                <w:sz w:val="26"/>
                <w:szCs w:val="26"/>
                <w:rtl/>
              </w:rPr>
              <w:t>ש</w:t>
            </w:r>
            <w:proofErr w:type="spellEnd"/>
            <w:r>
              <w:rPr>
                <w:rFonts w:ascii="Arial" w:hAnsi="Arial" w:hint="cs"/>
                <w:b/>
                <w:bCs/>
                <w:noProof w:val="0"/>
                <w:sz w:val="26"/>
                <w:szCs w:val="26"/>
                <w:rtl/>
              </w:rPr>
              <w:t>.</w:t>
            </w:r>
          </w:p>
          <w:p w:rsidR="00CC07EB" w:rsidRDefault="00CC07EB">
            <w:pPr>
              <w:suppressLineNumbers/>
              <w:jc w:val="left"/>
              <w:rPr>
                <w:noProof w:val="0"/>
                <w:rtl/>
              </w:rPr>
            </w:pPr>
            <w:r>
              <w:rPr>
                <w:noProof w:val="0"/>
                <w:rtl/>
              </w:rPr>
              <w:t>מיוצגת ע"י עו"ד אבי מיכאלי</w:t>
            </w:r>
          </w:p>
        </w:tc>
      </w:tr>
      <w:tr w:rsidR="00CC07EB" w:rsidTr="00CC07EB">
        <w:trPr>
          <w:jc w:val="center"/>
        </w:trPr>
        <w:tc>
          <w:tcPr>
            <w:tcW w:w="8820" w:type="dxa"/>
            <w:gridSpan w:val="4"/>
          </w:tcPr>
          <w:p w:rsidR="00CC07EB" w:rsidRDefault="00CC07EB">
            <w:pPr>
              <w:suppressLineNumbers/>
              <w:rPr>
                <w:rFonts w:ascii="Arial" w:hAnsi="Arial"/>
                <w:b/>
                <w:bCs/>
                <w:noProof w:val="0"/>
                <w:sz w:val="26"/>
                <w:szCs w:val="26"/>
              </w:rPr>
            </w:pPr>
          </w:p>
          <w:p w:rsidR="00CC07EB" w:rsidRDefault="00CC07EB">
            <w:pPr>
              <w:suppressLineNumbers/>
              <w:jc w:val="center"/>
              <w:rPr>
                <w:rFonts w:ascii="Arial" w:hAnsi="Arial"/>
                <w:b/>
                <w:bCs/>
                <w:noProof w:val="0"/>
                <w:sz w:val="26"/>
                <w:szCs w:val="26"/>
                <w:rtl/>
              </w:rPr>
            </w:pPr>
            <w:r>
              <w:rPr>
                <w:rFonts w:ascii="Arial" w:hAnsi="Arial"/>
                <w:b/>
                <w:bCs/>
                <w:noProof w:val="0"/>
                <w:sz w:val="26"/>
                <w:szCs w:val="26"/>
                <w:rtl/>
              </w:rPr>
              <w:t>נגד</w:t>
            </w:r>
          </w:p>
        </w:tc>
      </w:tr>
      <w:tr w:rsidR="00CC07EB" w:rsidTr="00CC07EB">
        <w:trPr>
          <w:jc w:val="center"/>
        </w:trPr>
        <w:tc>
          <w:tcPr>
            <w:tcW w:w="3249" w:type="dxa"/>
            <w:gridSpan w:val="2"/>
          </w:tcPr>
          <w:p w:rsidR="00CC07EB" w:rsidRDefault="00CC07EB">
            <w:pPr>
              <w:suppressLineNumbers/>
              <w:rPr>
                <w:rFonts w:ascii="Arial" w:hAnsi="Arial"/>
                <w:b/>
                <w:bCs/>
                <w:noProof w:val="0"/>
                <w:sz w:val="26"/>
                <w:szCs w:val="26"/>
              </w:rPr>
            </w:pPr>
          </w:p>
          <w:p w:rsidR="00CC07EB" w:rsidRDefault="00CC07EB">
            <w:pPr>
              <w:suppressLineNumbers/>
              <w:jc w:val="left"/>
              <w:rPr>
                <w:rFonts w:ascii="Arial" w:hAnsi="Arial"/>
                <w:b/>
                <w:bCs/>
                <w:noProof w:val="0"/>
                <w:sz w:val="26"/>
                <w:szCs w:val="26"/>
                <w:rtl/>
              </w:rPr>
            </w:pPr>
            <w:r>
              <w:rPr>
                <w:rFonts w:ascii="Arial" w:hAnsi="Arial"/>
                <w:b/>
                <w:bCs/>
                <w:noProof w:val="0"/>
                <w:sz w:val="26"/>
                <w:szCs w:val="26"/>
                <w:rtl/>
              </w:rPr>
              <w:t>משיב</w:t>
            </w:r>
          </w:p>
        </w:tc>
        <w:tc>
          <w:tcPr>
            <w:tcW w:w="5571" w:type="dxa"/>
            <w:gridSpan w:val="2"/>
          </w:tcPr>
          <w:p w:rsidR="00CC07EB" w:rsidRDefault="00CC07EB">
            <w:pPr>
              <w:suppressLineNumbers/>
              <w:rPr>
                <w:rFonts w:ascii="Arial" w:hAnsi="Arial"/>
                <w:b/>
                <w:bCs/>
                <w:noProof w:val="0"/>
                <w:sz w:val="26"/>
                <w:szCs w:val="26"/>
              </w:rPr>
            </w:pPr>
          </w:p>
          <w:p w:rsidR="00CC07EB" w:rsidRDefault="00CC07EB" w:rsidP="00CC07EB">
            <w:pPr>
              <w:suppressLineNumbers/>
              <w:jc w:val="left"/>
              <w:rPr>
                <w:b/>
                <w:bCs/>
                <w:noProof w:val="0"/>
                <w:sz w:val="26"/>
                <w:szCs w:val="26"/>
                <w:rtl/>
              </w:rPr>
            </w:pPr>
            <w:r>
              <w:rPr>
                <w:rFonts w:ascii="Arial" w:hAnsi="Arial"/>
                <w:b/>
                <w:bCs/>
                <w:noProof w:val="0"/>
                <w:sz w:val="26"/>
                <w:szCs w:val="26"/>
                <w:rtl/>
              </w:rPr>
              <w:t>ח</w:t>
            </w:r>
            <w:r>
              <w:rPr>
                <w:rFonts w:ascii="Arial" w:hAnsi="Arial" w:hint="cs"/>
                <w:b/>
                <w:bCs/>
                <w:noProof w:val="0"/>
                <w:sz w:val="26"/>
                <w:szCs w:val="26"/>
                <w:rtl/>
              </w:rPr>
              <w:t>.</w:t>
            </w:r>
            <w:r>
              <w:rPr>
                <w:rFonts w:ascii="Arial" w:hAnsi="Arial"/>
                <w:b/>
                <w:bCs/>
                <w:noProof w:val="0"/>
                <w:sz w:val="26"/>
                <w:szCs w:val="26"/>
                <w:rtl/>
              </w:rPr>
              <w:t>י</w:t>
            </w:r>
            <w:r>
              <w:rPr>
                <w:rFonts w:ascii="Arial" w:hAnsi="Arial" w:hint="cs"/>
                <w:b/>
                <w:bCs/>
                <w:noProof w:val="0"/>
                <w:sz w:val="26"/>
                <w:szCs w:val="26"/>
                <w:rtl/>
              </w:rPr>
              <w:t>.</w:t>
            </w:r>
          </w:p>
        </w:tc>
      </w:tr>
      <w:tr w:rsidR="00CC07EB" w:rsidTr="00CC07EB">
        <w:trPr>
          <w:jc w:val="center"/>
        </w:trPr>
        <w:tc>
          <w:tcPr>
            <w:tcW w:w="8820" w:type="dxa"/>
            <w:gridSpan w:val="4"/>
          </w:tcPr>
          <w:p w:rsidR="00CC07EB" w:rsidRDefault="00CC07EB">
            <w:pPr>
              <w:suppressLineNumbers/>
              <w:rPr>
                <w:rFonts w:ascii="Arial" w:hAnsi="Arial"/>
                <w:b/>
                <w:bCs/>
                <w:noProof w:val="0"/>
                <w:sz w:val="26"/>
                <w:szCs w:val="26"/>
                <w:rtl/>
              </w:rPr>
            </w:pPr>
          </w:p>
        </w:tc>
      </w:tr>
    </w:tbl>
    <w:p w:rsidR="00CC07EB" w:rsidRDefault="00CC07EB" w:rsidP="00CC07EB">
      <w:pPr>
        <w:suppressLineNumbers/>
        <w:rPr>
          <w:rtl/>
        </w:rPr>
      </w:pPr>
    </w:p>
    <w:tbl>
      <w:tblPr>
        <w:tblStyle w:val="a5"/>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C07EB" w:rsidTr="00CC07EB">
        <w:trPr>
          <w:jc w:val="center"/>
        </w:trPr>
        <w:tc>
          <w:tcPr>
            <w:tcW w:w="8820" w:type="dxa"/>
          </w:tcPr>
          <w:p w:rsidR="00CC07EB" w:rsidRDefault="00CC07EB">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CC07EB" w:rsidRDefault="00CC07EB">
            <w:pPr>
              <w:bidi w:val="0"/>
              <w:jc w:val="center"/>
              <w:rPr>
                <w:rFonts w:ascii="Arial" w:hAnsi="Arial"/>
                <w:b/>
                <w:bCs/>
                <w:noProof w:val="0"/>
                <w:u w:val="single"/>
              </w:rPr>
            </w:pPr>
            <w:r>
              <w:rPr>
                <w:rFonts w:ascii="Arial" w:hAnsi="Arial"/>
                <w:b/>
                <w:bCs/>
                <w:noProof w:val="0"/>
                <w:u w:val="single"/>
                <w:rtl/>
              </w:rPr>
              <w:t>בבקשה לקבלת פסק דין בהעדר הגנה</w:t>
            </w:r>
          </w:p>
          <w:p w:rsidR="00CC07EB" w:rsidRDefault="00CC07EB">
            <w:pPr>
              <w:bidi w:val="0"/>
              <w:jc w:val="center"/>
              <w:rPr>
                <w:rFonts w:ascii="Arial" w:hAnsi="Arial"/>
                <w:b/>
                <w:bCs/>
                <w:noProof w:val="0"/>
                <w:sz w:val="28"/>
                <w:szCs w:val="28"/>
                <w:u w:val="single"/>
                <w:rtl/>
              </w:rPr>
            </w:pPr>
          </w:p>
        </w:tc>
      </w:tr>
    </w:tbl>
    <w:p w:rsidR="00CC07EB" w:rsidRDefault="00CC07EB" w:rsidP="00CC07EB">
      <w:pPr>
        <w:pStyle w:val="Ruller4"/>
        <w:rPr>
          <w:rFonts w:ascii="David" w:hAnsi="David" w:cs="David"/>
          <w:sz w:val="24"/>
          <w:szCs w:val="24"/>
        </w:rPr>
      </w:pPr>
      <w:bookmarkStart w:id="1" w:name="NGCSBookmark"/>
      <w:bookmarkEnd w:id="1"/>
    </w:p>
    <w:p w:rsidR="00CC07EB" w:rsidRDefault="00CC07EB" w:rsidP="00CC07EB">
      <w:pPr>
        <w:pStyle w:val="Ruller4"/>
        <w:rPr>
          <w:rFonts w:ascii="David" w:hAnsi="David" w:cs="David"/>
          <w:spacing w:val="0"/>
          <w:kern w:val="0"/>
          <w:sz w:val="24"/>
          <w:szCs w:val="24"/>
          <w:rtl/>
          <w14:ligatures w14:val="none"/>
        </w:rPr>
      </w:pPr>
      <w:r>
        <w:rPr>
          <w:rFonts w:ascii="David" w:hAnsi="David" w:cs="David"/>
          <w:sz w:val="24"/>
          <w:szCs w:val="24"/>
          <w:rtl/>
        </w:rPr>
        <w:t>1</w:t>
      </w:r>
      <w:r>
        <w:rPr>
          <w:rFonts w:ascii="David" w:hAnsi="David" w:cs="David"/>
          <w:spacing w:val="0"/>
          <w:kern w:val="0"/>
          <w:sz w:val="24"/>
          <w:szCs w:val="24"/>
          <w:rtl/>
          <w14:ligatures w14:val="none"/>
        </w:rPr>
        <w:t>.</w:t>
      </w:r>
      <w:r>
        <w:rPr>
          <w:rFonts w:ascii="David" w:hAnsi="David" w:cs="David"/>
          <w:spacing w:val="0"/>
          <w:kern w:val="0"/>
          <w:sz w:val="24"/>
          <w:szCs w:val="24"/>
          <w:rtl/>
          <w14:ligatures w14:val="none"/>
        </w:rPr>
        <w:tab/>
        <w:t>לפני תביעה שהוגדרה "</w:t>
      </w:r>
      <w:r>
        <w:rPr>
          <w:rFonts w:ascii="David" w:hAnsi="David" w:cs="David"/>
          <w:spacing w:val="0"/>
          <w:kern w:val="0"/>
          <w:sz w:val="24"/>
          <w:szCs w:val="24"/>
          <w:u w:val="single"/>
          <w:rtl/>
          <w14:ligatures w14:val="none"/>
        </w:rPr>
        <w:t>כתב תביעה-לאכיפת פסק דין</w:t>
      </w:r>
      <w:r>
        <w:rPr>
          <w:rFonts w:ascii="David" w:hAnsi="David" w:cs="David"/>
          <w:spacing w:val="0"/>
          <w:kern w:val="0"/>
          <w:sz w:val="24"/>
          <w:szCs w:val="24"/>
          <w:rtl/>
          <w14:ligatures w14:val="none"/>
        </w:rPr>
        <w:t>".</w:t>
      </w:r>
    </w:p>
    <w:p w:rsidR="00CC07EB" w:rsidRDefault="00CC07EB" w:rsidP="00CC07EB">
      <w:pPr>
        <w:pStyle w:val="Ruller4"/>
        <w:rPr>
          <w:rFonts w:ascii="David" w:hAnsi="David" w:cs="David"/>
          <w:spacing w:val="0"/>
          <w:kern w:val="0"/>
          <w:sz w:val="24"/>
          <w:szCs w:val="24"/>
          <w14:ligatures w14:val="none"/>
        </w:rPr>
      </w:pPr>
    </w:p>
    <w:p w:rsidR="00CC07EB" w:rsidRDefault="00CC07EB" w:rsidP="00CC07EB">
      <w:pPr>
        <w:pStyle w:val="Ruller4"/>
        <w:rPr>
          <w:rFonts w:ascii="David" w:hAnsi="David" w:cs="David"/>
          <w:spacing w:val="0"/>
          <w:kern w:val="0"/>
          <w:sz w:val="24"/>
          <w:szCs w:val="24"/>
          <w:rtl/>
          <w14:ligatures w14:val="none"/>
        </w:rPr>
      </w:pPr>
      <w:r>
        <w:rPr>
          <w:rFonts w:ascii="David" w:hAnsi="David" w:cs="David"/>
          <w:spacing w:val="0"/>
          <w:kern w:val="0"/>
          <w:sz w:val="24"/>
          <w:szCs w:val="24"/>
          <w:rtl/>
          <w14:ligatures w14:val="none"/>
        </w:rPr>
        <w:t>2.</w:t>
      </w:r>
      <w:r>
        <w:rPr>
          <w:rFonts w:ascii="David" w:hAnsi="David" w:cs="David"/>
          <w:spacing w:val="0"/>
          <w:kern w:val="0"/>
          <w:sz w:val="24"/>
          <w:szCs w:val="24"/>
          <w:rtl/>
          <w14:ligatures w14:val="none"/>
        </w:rPr>
        <w:tab/>
        <w:t xml:space="preserve">בתביעתה עתרה התובעת בסעיף העתירות </w:t>
      </w:r>
      <w:proofErr w:type="spellStart"/>
      <w:r>
        <w:rPr>
          <w:rFonts w:ascii="David" w:hAnsi="David" w:cs="David"/>
          <w:spacing w:val="0"/>
          <w:kern w:val="0"/>
          <w:sz w:val="24"/>
          <w:szCs w:val="24"/>
          <w:rtl/>
          <w14:ligatures w14:val="none"/>
        </w:rPr>
        <w:t>לסעדים</w:t>
      </w:r>
      <w:proofErr w:type="spellEnd"/>
      <w:r>
        <w:rPr>
          <w:rFonts w:ascii="David" w:hAnsi="David" w:cs="David"/>
          <w:spacing w:val="0"/>
          <w:kern w:val="0"/>
          <w:sz w:val="24"/>
          <w:szCs w:val="24"/>
          <w:rtl/>
          <w14:ligatures w14:val="none"/>
        </w:rPr>
        <w:t xml:space="preserve"> הבאים:</w:t>
      </w:r>
    </w:p>
    <w:p w:rsidR="00CC07EB" w:rsidRDefault="00CC07EB" w:rsidP="00CC07EB">
      <w:pPr>
        <w:pStyle w:val="Ruller4"/>
        <w:rPr>
          <w:rFonts w:ascii="David" w:hAnsi="David" w:cs="David"/>
          <w:spacing w:val="0"/>
          <w:kern w:val="0"/>
          <w:sz w:val="24"/>
          <w:szCs w:val="24"/>
          <w:rtl/>
          <w14:ligatures w14:val="none"/>
        </w:rPr>
      </w:pPr>
    </w:p>
    <w:p w:rsidR="00CC07EB" w:rsidRDefault="00CC07EB" w:rsidP="00CC07EB">
      <w:pPr>
        <w:pStyle w:val="1"/>
        <w:spacing w:line="360" w:lineRule="auto"/>
        <w:jc w:val="both"/>
        <w:rPr>
          <w:rFonts w:ascii="David" w:hAnsi="David"/>
          <w:noProof w:val="0"/>
          <w:rtl/>
        </w:rPr>
      </w:pPr>
      <w:r>
        <w:rPr>
          <w:rFonts w:ascii="David" w:hAnsi="David"/>
          <w:noProof w:val="0"/>
          <w:rtl/>
        </w:rPr>
        <w:t xml:space="preserve">"[...] </w:t>
      </w:r>
      <w:r>
        <w:rPr>
          <w:rFonts w:ascii="David" w:hAnsi="David"/>
          <w:b/>
          <w:bCs/>
          <w:noProof w:val="0"/>
          <w:rtl/>
        </w:rPr>
        <w:t>על אכיפת זמני השהות של הקטינים עם הנתבע באופן שיקבע שהם בגדר חובה ולא רשות.</w:t>
      </w:r>
      <w:r>
        <w:rPr>
          <w:rFonts w:ascii="David" w:hAnsi="David"/>
          <w:noProof w:val="0"/>
          <w:rtl/>
        </w:rPr>
        <w:t xml:space="preserve"> [...]</w:t>
      </w:r>
    </w:p>
    <w:p w:rsidR="00CC07EB" w:rsidRDefault="00CC07EB" w:rsidP="00CC07EB">
      <w:pPr>
        <w:pStyle w:val="1"/>
        <w:spacing w:line="360" w:lineRule="auto"/>
        <w:jc w:val="both"/>
        <w:rPr>
          <w:rFonts w:ascii="David" w:hAnsi="David"/>
          <w:noProof w:val="0"/>
          <w:rtl/>
        </w:rPr>
      </w:pPr>
    </w:p>
    <w:p w:rsidR="00CC07EB" w:rsidRDefault="00CC07EB" w:rsidP="00CC07EB">
      <w:pPr>
        <w:pStyle w:val="1"/>
        <w:spacing w:line="360" w:lineRule="auto"/>
        <w:jc w:val="both"/>
        <w:rPr>
          <w:rFonts w:ascii="David" w:hAnsi="David"/>
          <w:noProof w:val="0"/>
          <w:rtl/>
        </w:rPr>
      </w:pPr>
      <w:r>
        <w:rPr>
          <w:rFonts w:ascii="David" w:hAnsi="David"/>
          <w:b/>
          <w:bCs/>
          <w:noProof w:val="0"/>
          <w:rtl/>
        </w:rPr>
        <w:t>להטיל על הנתבע סנקציה כספית בגין הפרה של זמני השהות לרבות התייחסות לשעות זמני השהות וזאת על מנת למנוע את המשך הפרתן תוך פגיעה בקטינים כאמור לעיל</w:t>
      </w:r>
      <w:r>
        <w:rPr>
          <w:rFonts w:ascii="David" w:hAnsi="David"/>
          <w:noProof w:val="0"/>
          <w:rtl/>
        </w:rPr>
        <w:t>.</w:t>
      </w:r>
    </w:p>
    <w:p w:rsidR="00CC07EB" w:rsidRDefault="00CC07EB" w:rsidP="00CC07EB">
      <w:pPr>
        <w:pStyle w:val="1"/>
        <w:spacing w:line="360" w:lineRule="auto"/>
        <w:ind w:left="360"/>
        <w:jc w:val="both"/>
        <w:rPr>
          <w:rFonts w:ascii="David" w:hAnsi="David"/>
          <w:noProof w:val="0"/>
          <w:rtl/>
        </w:rPr>
      </w:pPr>
    </w:p>
    <w:p w:rsidR="00CC07EB" w:rsidRDefault="00CC07EB" w:rsidP="00CC07EB">
      <w:pPr>
        <w:pStyle w:val="1"/>
        <w:spacing w:line="360" w:lineRule="auto"/>
        <w:jc w:val="both"/>
        <w:rPr>
          <w:rFonts w:ascii="David" w:hAnsi="David"/>
          <w:b/>
          <w:bCs/>
          <w:noProof w:val="0"/>
          <w:rtl/>
        </w:rPr>
      </w:pPr>
      <w:proofErr w:type="spellStart"/>
      <w:r>
        <w:rPr>
          <w:rFonts w:ascii="David" w:hAnsi="David"/>
          <w:b/>
          <w:bCs/>
          <w:noProof w:val="0"/>
          <w:rtl/>
        </w:rPr>
        <w:t>ליתן</w:t>
      </w:r>
      <w:proofErr w:type="spellEnd"/>
      <w:r>
        <w:rPr>
          <w:rFonts w:ascii="David" w:hAnsi="David"/>
          <w:b/>
          <w:bCs/>
          <w:noProof w:val="0"/>
          <w:rtl/>
        </w:rPr>
        <w:t xml:space="preserve"> בנוסף כל סעד אחר על פי שיקול דעתו אשר ימנע את הפגיעה האנושה בנפש הקטינים הרכים</w:t>
      </w:r>
      <w:r>
        <w:rPr>
          <w:rFonts w:ascii="David" w:hAnsi="David"/>
          <w:noProof w:val="0"/>
          <w:rtl/>
        </w:rPr>
        <w:t xml:space="preserve">". </w:t>
      </w:r>
    </w:p>
    <w:p w:rsidR="00CC07EB" w:rsidRDefault="00CC07EB" w:rsidP="00CC07EB">
      <w:pPr>
        <w:pStyle w:val="1"/>
        <w:spacing w:line="360" w:lineRule="auto"/>
        <w:ind w:left="360"/>
        <w:jc w:val="both"/>
        <w:rPr>
          <w:rFonts w:ascii="Miriam" w:hAnsi="Miriam" w:cs="Miriam"/>
          <w:noProof w:val="0"/>
          <w:rtl/>
        </w:rPr>
      </w:pPr>
    </w:p>
    <w:p w:rsidR="00CC07EB" w:rsidRDefault="00CC07EB" w:rsidP="00CC07EB">
      <w:pPr>
        <w:pStyle w:val="1"/>
        <w:spacing w:line="360" w:lineRule="auto"/>
        <w:ind w:left="714" w:hanging="630"/>
        <w:jc w:val="both"/>
        <w:rPr>
          <w:rFonts w:ascii="David" w:hAnsi="David"/>
          <w:noProof w:val="0"/>
          <w:rtl/>
        </w:rPr>
      </w:pPr>
      <w:r>
        <w:rPr>
          <w:rFonts w:ascii="David" w:hAnsi="David"/>
          <w:noProof w:val="0"/>
          <w:rtl/>
        </w:rPr>
        <w:t>3.</w:t>
      </w:r>
      <w:r>
        <w:rPr>
          <w:rFonts w:ascii="David" w:hAnsi="David"/>
          <w:noProof w:val="0"/>
          <w:rtl/>
        </w:rPr>
        <w:tab/>
        <w:t>תביעתה של התובעת לאכיפת פסק הדין התבססה על הסכמות בינה לבין הנתבע להסדרי שהות אשר הושגו במסגרת דיון בתביעת מזונות אותה הגישה כנגד הנתבע.  ביום 31/5/2023 התקיים דיון בתביעת המזונות וב"כ הצדדים הודיעו לפרוטוקול שהגיעו להסכמות הבאות:</w:t>
      </w:r>
    </w:p>
    <w:p w:rsidR="00CC07EB" w:rsidRDefault="00CC07EB" w:rsidP="00CC07EB">
      <w:pPr>
        <w:spacing w:line="360" w:lineRule="auto"/>
        <w:jc w:val="both"/>
        <w:rPr>
          <w:rFonts w:ascii="David" w:hAnsi="David"/>
          <w:noProof w:val="0"/>
          <w:rtl/>
        </w:rPr>
      </w:pPr>
    </w:p>
    <w:p w:rsidR="00CC07EB" w:rsidRDefault="00CC07EB" w:rsidP="00CC07EB">
      <w:pPr>
        <w:spacing w:line="360" w:lineRule="auto"/>
        <w:ind w:left="714"/>
        <w:jc w:val="both"/>
        <w:rPr>
          <w:rFonts w:ascii="David" w:hAnsi="David"/>
          <w:rtl/>
        </w:rPr>
      </w:pPr>
      <w:r>
        <w:rPr>
          <w:rFonts w:ascii="David" w:hAnsi="David"/>
          <w:rtl/>
        </w:rPr>
        <w:lastRenderedPageBreak/>
        <w:t>"</w:t>
      </w:r>
      <w:r>
        <w:rPr>
          <w:rFonts w:ascii="David" w:hAnsi="David"/>
          <w:b/>
          <w:bCs/>
          <w:rtl/>
        </w:rPr>
        <w:t>הגענו להסכמה שמזונות שני הקטינים יעמדו על סך 3,700 ₪ לחודש החל מיוני 2023, שזה כולל מדור וכל המחציות. האם תמשיך לקבל את הקצבאות עבור הקטינים לרבות קצבת נכות עבור הילד ע</w:t>
      </w:r>
      <w:r>
        <w:rPr>
          <w:rFonts w:ascii="David" w:hAnsi="David" w:hint="cs"/>
          <w:b/>
          <w:bCs/>
          <w:rtl/>
        </w:rPr>
        <w:t>.</w:t>
      </w:r>
      <w:r>
        <w:rPr>
          <w:rFonts w:ascii="David" w:hAnsi="David"/>
          <w:rtl/>
        </w:rPr>
        <w:t xml:space="preserve">. </w:t>
      </w:r>
    </w:p>
    <w:p w:rsidR="00CC07EB" w:rsidRDefault="00CC07EB" w:rsidP="00CC07EB">
      <w:pPr>
        <w:spacing w:line="360" w:lineRule="auto"/>
        <w:ind w:left="714"/>
        <w:jc w:val="both"/>
        <w:rPr>
          <w:rFonts w:ascii="David" w:hAnsi="David"/>
          <w:rtl/>
        </w:rPr>
      </w:pPr>
      <w:r>
        <w:rPr>
          <w:rFonts w:ascii="David" w:hAnsi="David"/>
          <w:b/>
          <w:bCs/>
          <w:rtl/>
        </w:rPr>
        <w:t>מאחר והאב עוזב את אילת זמני השהות יהיו סוף שבוע אחת ל – 4 שבתות, האב יבוא לאילת וישהה איתם ביחידת דיור שישכור.  אחת ליום הוא יוכל לעשות שיחת וידאו עם הילדים בשעה 19:00. כרגע זה יהיה דרך הטלפון של האם כי לילד הגדול עדיין אין טלפון</w:t>
      </w:r>
      <w:r>
        <w:rPr>
          <w:rFonts w:ascii="David" w:hAnsi="David"/>
          <w:rtl/>
        </w:rPr>
        <w:t xml:space="preserve">. </w:t>
      </w:r>
    </w:p>
    <w:p w:rsidR="00CC07EB" w:rsidRDefault="00CC07EB" w:rsidP="00CC07EB">
      <w:pPr>
        <w:pStyle w:val="Ruller4"/>
        <w:tabs>
          <w:tab w:val="left" w:pos="720"/>
        </w:tabs>
        <w:rPr>
          <w:rFonts w:ascii="David" w:hAnsi="David" w:cs="David"/>
          <w:sz w:val="24"/>
          <w:szCs w:val="24"/>
        </w:rPr>
      </w:pPr>
      <w:r>
        <w:rPr>
          <w:rFonts w:ascii="David" w:hAnsi="David" w:cs="David"/>
          <w:sz w:val="24"/>
          <w:szCs w:val="24"/>
          <w:rtl/>
        </w:rPr>
        <w:tab/>
      </w:r>
      <w:r>
        <w:rPr>
          <w:rFonts w:ascii="David" w:hAnsi="David" w:cs="David"/>
          <w:b/>
          <w:bCs/>
          <w:sz w:val="24"/>
          <w:szCs w:val="24"/>
          <w:rtl/>
        </w:rPr>
        <w:t>אנו מסכימים כי האחריות ההורית תהא לאם</w:t>
      </w:r>
      <w:r>
        <w:rPr>
          <w:rFonts w:ascii="David" w:hAnsi="David" w:cs="David"/>
          <w:sz w:val="24"/>
          <w:szCs w:val="24"/>
          <w:rtl/>
        </w:rPr>
        <w:t>"</w:t>
      </w:r>
    </w:p>
    <w:p w:rsidR="00CC07EB" w:rsidRDefault="00CC07EB" w:rsidP="00CC07EB">
      <w:pPr>
        <w:pStyle w:val="Ruller4"/>
        <w:rPr>
          <w:rFonts w:ascii="David" w:hAnsi="David" w:cs="David"/>
          <w:sz w:val="24"/>
          <w:szCs w:val="24"/>
          <w:rtl/>
        </w:rPr>
      </w:pPr>
    </w:p>
    <w:p w:rsidR="00CC07EB" w:rsidRDefault="00CC07EB" w:rsidP="00CC07EB">
      <w:pPr>
        <w:pStyle w:val="Ruller4"/>
        <w:rPr>
          <w:rFonts w:ascii="David" w:hAnsi="David" w:cs="David"/>
          <w:sz w:val="24"/>
          <w:szCs w:val="24"/>
          <w:rtl/>
        </w:rPr>
      </w:pPr>
      <w:r>
        <w:rPr>
          <w:rFonts w:ascii="David" w:hAnsi="David" w:cs="David"/>
          <w:sz w:val="24"/>
          <w:szCs w:val="24"/>
          <w:rtl/>
        </w:rPr>
        <w:tab/>
      </w:r>
      <w:r>
        <w:rPr>
          <w:rFonts w:ascii="David" w:hAnsi="David" w:cs="David"/>
          <w:spacing w:val="0"/>
          <w:kern w:val="0"/>
          <w:sz w:val="24"/>
          <w:szCs w:val="24"/>
          <w:rtl/>
          <w14:ligatures w14:val="none"/>
        </w:rPr>
        <w:t>הסכמות אלו קיבלו תוקף של פסק דין והתיק נסגר.</w:t>
      </w:r>
      <w:r>
        <w:rPr>
          <w:rFonts w:ascii="David" w:hAnsi="David" w:cs="David"/>
          <w:sz w:val="24"/>
          <w:szCs w:val="24"/>
          <w:rtl/>
        </w:rPr>
        <w:t xml:space="preserve"> </w:t>
      </w:r>
    </w:p>
    <w:p w:rsidR="00CC07EB" w:rsidRDefault="00CC07EB" w:rsidP="00CC07EB">
      <w:pPr>
        <w:pStyle w:val="Ruller4"/>
        <w:rPr>
          <w:rFonts w:ascii="David" w:hAnsi="David" w:cs="David"/>
          <w:sz w:val="24"/>
          <w:szCs w:val="24"/>
          <w:rtl/>
        </w:rPr>
      </w:pPr>
    </w:p>
    <w:p w:rsidR="00CC07EB" w:rsidRDefault="00CC07EB" w:rsidP="00CC07EB">
      <w:pPr>
        <w:pStyle w:val="Ruller4"/>
        <w:rPr>
          <w:rFonts w:ascii="David" w:hAnsi="David" w:cs="David"/>
          <w:sz w:val="24"/>
          <w:szCs w:val="24"/>
          <w:rtl/>
        </w:rPr>
      </w:pPr>
      <w:r>
        <w:rPr>
          <w:rFonts w:ascii="David" w:hAnsi="David" w:cs="David"/>
          <w:sz w:val="24"/>
          <w:szCs w:val="24"/>
          <w:rtl/>
        </w:rPr>
        <w:t>4.</w:t>
      </w:r>
      <w:r>
        <w:rPr>
          <w:rFonts w:ascii="David" w:hAnsi="David" w:cs="David"/>
          <w:sz w:val="24"/>
          <w:szCs w:val="24"/>
          <w:rtl/>
        </w:rPr>
        <w:tab/>
      </w:r>
      <w:r>
        <w:rPr>
          <w:rFonts w:ascii="David" w:hAnsi="David" w:cs="David"/>
          <w:spacing w:val="0"/>
          <w:kern w:val="0"/>
          <w:sz w:val="24"/>
          <w:szCs w:val="24"/>
          <w:rtl/>
          <w14:ligatures w14:val="none"/>
        </w:rPr>
        <w:t>התביעה שלפני הוגשה כעבור כ- 10 חודשים מיום מתן פסק הדין ביום 11/3/24.</w:t>
      </w:r>
      <w:r>
        <w:rPr>
          <w:rFonts w:ascii="David" w:hAnsi="David" w:cs="David"/>
          <w:sz w:val="24"/>
          <w:szCs w:val="24"/>
          <w:rtl/>
        </w:rPr>
        <w:t xml:space="preserve"> </w:t>
      </w:r>
    </w:p>
    <w:p w:rsidR="00CC07EB" w:rsidRDefault="00CC07EB" w:rsidP="00CC07EB">
      <w:pPr>
        <w:pStyle w:val="Ruller4"/>
        <w:rPr>
          <w:rFonts w:ascii="David" w:hAnsi="David" w:cs="David"/>
          <w:sz w:val="24"/>
          <w:szCs w:val="24"/>
          <w:rtl/>
        </w:rPr>
      </w:pPr>
    </w:p>
    <w:p w:rsidR="00CC07EB" w:rsidRDefault="00CC07EB" w:rsidP="00CC07EB">
      <w:pPr>
        <w:pStyle w:val="Ruller4"/>
        <w:ind w:left="720" w:hanging="720"/>
        <w:rPr>
          <w:rFonts w:ascii="David" w:hAnsi="David" w:cs="David"/>
          <w:spacing w:val="0"/>
          <w:kern w:val="0"/>
          <w:sz w:val="24"/>
          <w:szCs w:val="24"/>
          <w:rtl/>
          <w14:ligatures w14:val="none"/>
        </w:rPr>
      </w:pPr>
      <w:r>
        <w:rPr>
          <w:rFonts w:ascii="David" w:hAnsi="David" w:cs="David"/>
          <w:sz w:val="24"/>
          <w:szCs w:val="24"/>
          <w:rtl/>
        </w:rPr>
        <w:t>5.</w:t>
      </w:r>
      <w:r>
        <w:rPr>
          <w:rFonts w:ascii="David" w:hAnsi="David" w:cs="David"/>
          <w:sz w:val="24"/>
          <w:szCs w:val="24"/>
          <w:rtl/>
        </w:rPr>
        <w:tab/>
      </w:r>
      <w:r>
        <w:rPr>
          <w:rFonts w:ascii="David" w:hAnsi="David" w:cs="David"/>
          <w:spacing w:val="0"/>
          <w:kern w:val="0"/>
          <w:sz w:val="24"/>
          <w:szCs w:val="24"/>
          <w:rtl/>
          <w14:ligatures w14:val="none"/>
        </w:rPr>
        <w:t>יום לאחר הגשת כתב התביעה ביום 12/3/2024 הגישה התובעת בקשה לסעד זמני שכותרתה "</w:t>
      </w:r>
      <w:r>
        <w:rPr>
          <w:rFonts w:ascii="David" w:hAnsi="David" w:cs="David"/>
          <w:spacing w:val="0"/>
          <w:kern w:val="0"/>
          <w:sz w:val="24"/>
          <w:szCs w:val="24"/>
          <w:u w:val="single"/>
          <w:rtl/>
          <w14:ligatures w14:val="none"/>
        </w:rPr>
        <w:t>בקשה לסעד זמני -אכיפת פסק דין</w:t>
      </w:r>
      <w:r>
        <w:rPr>
          <w:rFonts w:ascii="David" w:hAnsi="David" w:cs="David"/>
          <w:spacing w:val="0"/>
          <w:kern w:val="0"/>
          <w:sz w:val="24"/>
          <w:szCs w:val="24"/>
          <w:rtl/>
          <w14:ligatures w14:val="none"/>
        </w:rPr>
        <w:t xml:space="preserve">". </w:t>
      </w:r>
    </w:p>
    <w:p w:rsidR="00CC07EB" w:rsidRDefault="00CC07EB" w:rsidP="00CC07EB">
      <w:pPr>
        <w:pStyle w:val="Ruller4"/>
        <w:rPr>
          <w:rFonts w:ascii="David" w:hAnsi="David" w:cs="David"/>
          <w:sz w:val="24"/>
          <w:szCs w:val="24"/>
          <w:rtl/>
        </w:rPr>
      </w:pPr>
    </w:p>
    <w:p w:rsidR="00CC07EB" w:rsidRDefault="00CC07EB" w:rsidP="00CC07EB">
      <w:pPr>
        <w:pStyle w:val="Ruller4"/>
        <w:tabs>
          <w:tab w:val="left" w:pos="720"/>
        </w:tabs>
        <w:ind w:left="720" w:hanging="720"/>
        <w:rPr>
          <w:rFonts w:ascii="David" w:hAnsi="David" w:cs="David"/>
          <w:sz w:val="24"/>
          <w:szCs w:val="24"/>
        </w:rPr>
      </w:pPr>
      <w:r>
        <w:rPr>
          <w:rFonts w:ascii="David" w:hAnsi="David" w:cs="David"/>
          <w:sz w:val="24"/>
          <w:szCs w:val="24"/>
          <w:rtl/>
        </w:rPr>
        <w:t>6.</w:t>
      </w:r>
      <w:r>
        <w:rPr>
          <w:rFonts w:ascii="David" w:hAnsi="David" w:cs="David"/>
          <w:sz w:val="24"/>
          <w:szCs w:val="24"/>
          <w:rtl/>
        </w:rPr>
        <w:tab/>
      </w:r>
      <w:r>
        <w:rPr>
          <w:rFonts w:ascii="David" w:hAnsi="David" w:cs="David"/>
          <w:spacing w:val="0"/>
          <w:kern w:val="0"/>
          <w:sz w:val="24"/>
          <w:szCs w:val="24"/>
          <w:rtl/>
          <w14:ligatures w14:val="none"/>
        </w:rPr>
        <w:t>באותו יום הוגשה בקשה נוספת בה עתרה המבקשת לאשר לה לבצע מסירה של כתב התביעה באמצעות תחליף המצאה. המבקשת טענה שהצורך בתחליף המצאה  הוא בשל סירובו העיקש של המשיב והיעדר שיתוף פעולה מצדו למסירת כתובתו העדכנית. בא כוח המבקשת ציין שהמשיב לא שינה את כתובתו במרשם האוכלוסין וכתובתו עדיין רשומה בכתובתה של המבקשת בעיר אילת חרף עזיבתו את העיר. מבלי להקדים המאוחר לתיק לא צורף אישור ממשרד הפנים על כתובתו של המשיב (גם אם זו באילת). משכך טען בא כוחה של התובעת</w:t>
      </w:r>
      <w:r>
        <w:rPr>
          <w:rFonts w:ascii="David" w:hAnsi="David" w:cs="David"/>
          <w:sz w:val="24"/>
          <w:szCs w:val="24"/>
          <w:rtl/>
        </w:rPr>
        <w:t xml:space="preserve"> </w:t>
      </w:r>
      <w:r>
        <w:rPr>
          <w:rFonts w:ascii="David" w:eastAsiaTheme="minorHAnsi" w:hAnsi="David" w:cs="David"/>
          <w:b/>
          <w:bCs/>
          <w:spacing w:val="0"/>
          <w:kern w:val="0"/>
          <w:sz w:val="24"/>
          <w:szCs w:val="24"/>
          <w:rtl/>
          <w14:ligatures w14:val="none"/>
        </w:rPr>
        <w:t xml:space="preserve">"...אשר על כן ולאור האמור לעיל נראה כי אין מנוס מהגשת בקשה זו לבית המשפט אשר מתבקש לעשות שימוש בסמכותו ולהורות על תחליף המצאה למשיב על פי שיקול דעתו אשר יאפשר </w:t>
      </w:r>
      <w:proofErr w:type="spellStart"/>
      <w:r>
        <w:rPr>
          <w:rFonts w:ascii="David" w:eastAsiaTheme="minorHAnsi" w:hAnsi="David" w:cs="David"/>
          <w:b/>
          <w:bCs/>
          <w:spacing w:val="0"/>
          <w:kern w:val="0"/>
          <w:sz w:val="24"/>
          <w:szCs w:val="24"/>
          <w:rtl/>
          <w14:ligatures w14:val="none"/>
        </w:rPr>
        <w:t>לח"מ</w:t>
      </w:r>
      <w:proofErr w:type="spellEnd"/>
      <w:r>
        <w:rPr>
          <w:rFonts w:ascii="David" w:eastAsiaTheme="minorHAnsi" w:hAnsi="David" w:cs="David"/>
          <w:b/>
          <w:bCs/>
          <w:spacing w:val="0"/>
          <w:kern w:val="0"/>
          <w:sz w:val="24"/>
          <w:szCs w:val="24"/>
          <w:rtl/>
          <w14:ligatures w14:val="none"/>
        </w:rPr>
        <w:t xml:space="preserve">  לבצע מסירה כדין של כתב התביעה והבקשה לסעד זמני לידי המשיב".</w:t>
      </w:r>
      <w:r>
        <w:rPr>
          <w:rFonts w:ascii="David" w:hAnsi="David" w:cs="David"/>
          <w:sz w:val="24"/>
          <w:szCs w:val="24"/>
          <w:rtl/>
        </w:rPr>
        <w:t xml:space="preserve"> </w:t>
      </w:r>
    </w:p>
    <w:p w:rsidR="00CC07EB" w:rsidRDefault="00CC07EB" w:rsidP="00CC07EB">
      <w:pPr>
        <w:pStyle w:val="Ruller4"/>
        <w:rPr>
          <w:rFonts w:ascii="David" w:hAnsi="David" w:cs="David"/>
          <w:sz w:val="24"/>
          <w:szCs w:val="24"/>
          <w:rtl/>
        </w:rPr>
      </w:pPr>
    </w:p>
    <w:p w:rsidR="00CC07EB" w:rsidRDefault="00CC07EB" w:rsidP="00CC07EB">
      <w:pPr>
        <w:pStyle w:val="Ruller4"/>
        <w:tabs>
          <w:tab w:val="left" w:pos="720"/>
        </w:tabs>
        <w:ind w:left="720"/>
        <w:rPr>
          <w:rFonts w:ascii="David" w:hAnsi="David" w:cs="David"/>
          <w:sz w:val="24"/>
          <w:szCs w:val="24"/>
          <w:rtl/>
        </w:rPr>
      </w:pPr>
      <w:r>
        <w:rPr>
          <w:rFonts w:ascii="David" w:hAnsi="David" w:cs="David"/>
          <w:spacing w:val="0"/>
          <w:kern w:val="0"/>
          <w:sz w:val="24"/>
          <w:szCs w:val="24"/>
          <w:rtl/>
          <w14:ligatures w14:val="none"/>
        </w:rPr>
        <w:t>ביום 13/3/2024 ניתנה החלטה על גבי הבקשה "</w:t>
      </w:r>
      <w:r>
        <w:rPr>
          <w:rFonts w:ascii="David" w:hAnsi="David" w:cs="David"/>
          <w:spacing w:val="0"/>
          <w:kern w:val="0"/>
          <w:sz w:val="24"/>
          <w:szCs w:val="24"/>
          <w:u w:val="single"/>
          <w:rtl/>
          <w14:ligatures w14:val="none"/>
        </w:rPr>
        <w:t>לסעד זמני -אכיפת פסק דין</w:t>
      </w:r>
      <w:r>
        <w:rPr>
          <w:rFonts w:ascii="David" w:hAnsi="David" w:cs="David"/>
          <w:spacing w:val="0"/>
          <w:kern w:val="0"/>
          <w:sz w:val="24"/>
          <w:szCs w:val="24"/>
          <w:rtl/>
          <w14:ligatures w14:val="none"/>
        </w:rPr>
        <w:t>":</w:t>
      </w:r>
      <w:r>
        <w:rPr>
          <w:rFonts w:ascii="David" w:hAnsi="David" w:cs="David"/>
          <w:sz w:val="24"/>
          <w:szCs w:val="24"/>
          <w:rtl/>
        </w:rPr>
        <w:t xml:space="preserve"> </w:t>
      </w:r>
      <w:r>
        <w:rPr>
          <w:rFonts w:ascii="David" w:eastAsiaTheme="minorHAnsi" w:hAnsi="David" w:cs="David"/>
          <w:b/>
          <w:bCs/>
          <w:spacing w:val="0"/>
          <w:kern w:val="0"/>
          <w:sz w:val="24"/>
          <w:szCs w:val="24"/>
          <w:rtl/>
          <w14:ligatures w14:val="none"/>
        </w:rPr>
        <w:t>"לתגובת המשיב תוך 15 יום מהמצאה כדין על ידי ב"כ המבקשת אישור מסירה יוגש לתיק תוך 5 ימים  ת"פ לסריקת אישור המסירה ליום 20/3/24"</w:t>
      </w:r>
    </w:p>
    <w:p w:rsidR="00CC07EB" w:rsidRDefault="00CC07EB" w:rsidP="00CC07EB">
      <w:pPr>
        <w:spacing w:line="360" w:lineRule="auto"/>
        <w:jc w:val="both"/>
        <w:rPr>
          <w:rFonts w:asciiTheme="minorHAnsi" w:hAnsiTheme="minorHAnsi" w:cstheme="minorBidi"/>
          <w:sz w:val="22"/>
          <w:szCs w:val="22"/>
          <w:rtl/>
        </w:rPr>
      </w:pPr>
    </w:p>
    <w:p w:rsidR="00CC07EB" w:rsidRDefault="00CC07EB" w:rsidP="00CC07EB">
      <w:pPr>
        <w:pStyle w:val="Ruller4"/>
        <w:tabs>
          <w:tab w:val="left" w:pos="720"/>
        </w:tabs>
        <w:ind w:left="720" w:hanging="720"/>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7.</w:t>
      </w:r>
      <w:r>
        <w:rPr>
          <w:rFonts w:ascii="David" w:eastAsiaTheme="minorHAnsi" w:hAnsi="David" w:cs="David"/>
          <w:spacing w:val="0"/>
          <w:kern w:val="0"/>
          <w:sz w:val="24"/>
          <w:szCs w:val="24"/>
          <w:rtl/>
          <w14:ligatures w14:val="none"/>
        </w:rPr>
        <w:tab/>
        <w:t xml:space="preserve">על בקשתה של האם להמצאה באמצעות תחליף המצאה ניתנה החלטה ביום 13/3/2024 </w:t>
      </w:r>
      <w:r>
        <w:rPr>
          <w:rFonts w:ascii="David" w:eastAsiaTheme="minorHAnsi" w:hAnsi="David" w:cs="David"/>
          <w:b/>
          <w:bCs/>
          <w:spacing w:val="0"/>
          <w:kern w:val="0"/>
          <w:sz w:val="24"/>
          <w:szCs w:val="24"/>
          <w:rtl/>
          <w14:ligatures w14:val="none"/>
        </w:rPr>
        <w:t xml:space="preserve">"משעה שהתובעת יודעת את מספר הטלפון של האב יישלח החומר באמצעות </w:t>
      </w:r>
      <w:proofErr w:type="spellStart"/>
      <w:r>
        <w:rPr>
          <w:rFonts w:ascii="David" w:eastAsiaTheme="minorHAnsi" w:hAnsi="David" w:cs="David"/>
          <w:b/>
          <w:bCs/>
          <w:spacing w:val="0"/>
          <w:kern w:val="0"/>
          <w:sz w:val="24"/>
          <w:szCs w:val="24"/>
          <w:rtl/>
          <w14:ligatures w14:val="none"/>
        </w:rPr>
        <w:t>ווטסאפ</w:t>
      </w:r>
      <w:proofErr w:type="spellEnd"/>
      <w:r>
        <w:rPr>
          <w:rFonts w:ascii="David" w:eastAsiaTheme="minorHAnsi" w:hAnsi="David" w:cs="David"/>
          <w:b/>
          <w:bCs/>
          <w:spacing w:val="0"/>
          <w:kern w:val="0"/>
          <w:sz w:val="24"/>
          <w:szCs w:val="24"/>
          <w:rtl/>
          <w14:ligatures w14:val="none"/>
        </w:rPr>
        <w:t xml:space="preserve"> הבקשה לעת הזו נדחית".  </w:t>
      </w:r>
      <w:r>
        <w:rPr>
          <w:rFonts w:ascii="David" w:eastAsiaTheme="minorHAnsi" w:hAnsi="David" w:cs="David"/>
          <w:spacing w:val="0"/>
          <w:kern w:val="0"/>
          <w:sz w:val="24"/>
          <w:szCs w:val="24"/>
          <w:rtl/>
          <w14:ligatures w14:val="none"/>
        </w:rPr>
        <w:t xml:space="preserve">בו ביום עדכן בא כוח התובעת על ביצוע מסירה של כתב התביעה באמצעות </w:t>
      </w:r>
      <w:proofErr w:type="spellStart"/>
      <w:r>
        <w:rPr>
          <w:rFonts w:ascii="David" w:eastAsiaTheme="minorHAnsi" w:hAnsi="David" w:cs="David"/>
          <w:spacing w:val="0"/>
          <w:kern w:val="0"/>
          <w:sz w:val="24"/>
          <w:szCs w:val="24"/>
          <w:rtl/>
          <w14:ligatures w14:val="none"/>
        </w:rPr>
        <w:t>הווטסאפ</w:t>
      </w:r>
      <w:proofErr w:type="spellEnd"/>
      <w:r>
        <w:rPr>
          <w:rFonts w:ascii="David" w:eastAsiaTheme="minorHAnsi" w:hAnsi="David" w:cs="David"/>
          <w:spacing w:val="0"/>
          <w:kern w:val="0"/>
          <w:sz w:val="24"/>
          <w:szCs w:val="24"/>
          <w:rtl/>
          <w14:ligatures w14:val="none"/>
        </w:rPr>
        <w:t>.</w:t>
      </w:r>
    </w:p>
    <w:p w:rsidR="00CC07EB" w:rsidRDefault="00CC07EB" w:rsidP="00CC07EB">
      <w:pPr>
        <w:pStyle w:val="Ruller4"/>
        <w:tabs>
          <w:tab w:val="left" w:pos="720"/>
        </w:tabs>
        <w:rPr>
          <w:rFonts w:ascii="David" w:eastAsiaTheme="minorHAnsi" w:hAnsi="David" w:cs="David"/>
          <w:b/>
          <w:bCs/>
          <w:spacing w:val="0"/>
          <w:kern w:val="0"/>
          <w:sz w:val="24"/>
          <w:szCs w:val="24"/>
          <w:rtl/>
          <w14:ligatures w14:val="none"/>
        </w:rPr>
      </w:pPr>
    </w:p>
    <w:p w:rsidR="00CC07EB" w:rsidRDefault="00CC07EB" w:rsidP="00CC07EB">
      <w:pPr>
        <w:pStyle w:val="Ruller4"/>
        <w:tabs>
          <w:tab w:val="left" w:pos="720"/>
        </w:tabs>
        <w:ind w:left="720"/>
        <w:rPr>
          <w:rFonts w:ascii="David" w:eastAsiaTheme="minorHAnsi" w:hAnsi="David" w:cs="David"/>
          <w:b/>
          <w:bCs/>
          <w:spacing w:val="0"/>
          <w:kern w:val="0"/>
          <w:sz w:val="24"/>
          <w:szCs w:val="24"/>
          <w14:ligatures w14:val="none"/>
        </w:rPr>
      </w:pPr>
      <w:r>
        <w:rPr>
          <w:rFonts w:ascii="David" w:eastAsiaTheme="minorHAnsi" w:hAnsi="David" w:cs="David"/>
          <w:b/>
          <w:bCs/>
          <w:spacing w:val="0"/>
          <w:kern w:val="0"/>
          <w:sz w:val="24"/>
          <w:szCs w:val="24"/>
          <w:rtl/>
          <w14:ligatures w14:val="none"/>
        </w:rPr>
        <w:tab/>
      </w:r>
      <w:r>
        <w:rPr>
          <w:rFonts w:ascii="David" w:eastAsiaTheme="minorHAnsi" w:hAnsi="David" w:cs="David"/>
          <w:spacing w:val="0"/>
          <w:kern w:val="0"/>
          <w:sz w:val="24"/>
          <w:szCs w:val="24"/>
          <w:rtl/>
          <w14:ligatures w14:val="none"/>
        </w:rPr>
        <w:t>ביום 6/5/2024 הגישה התובעת</w:t>
      </w:r>
      <w:r>
        <w:rPr>
          <w:rFonts w:ascii="David" w:eastAsiaTheme="minorHAnsi" w:hAnsi="David" w:cs="David"/>
          <w:b/>
          <w:bCs/>
          <w:spacing w:val="0"/>
          <w:kern w:val="0"/>
          <w:sz w:val="24"/>
          <w:szCs w:val="24"/>
          <w:rtl/>
          <w14:ligatures w14:val="none"/>
        </w:rPr>
        <w:t xml:space="preserve"> "</w:t>
      </w:r>
      <w:r>
        <w:rPr>
          <w:rFonts w:ascii="David" w:eastAsiaTheme="minorHAnsi" w:hAnsi="David" w:cs="David"/>
          <w:spacing w:val="0"/>
          <w:kern w:val="0"/>
          <w:sz w:val="24"/>
          <w:szCs w:val="24"/>
          <w:u w:val="single"/>
          <w:rtl/>
          <w14:ligatures w14:val="none"/>
        </w:rPr>
        <w:t>בקשה למתן פסק דין בהעדר הגנה</w:t>
      </w:r>
      <w:r>
        <w:rPr>
          <w:rFonts w:ascii="David" w:eastAsiaTheme="minorHAnsi" w:hAnsi="David" w:cs="David"/>
          <w:b/>
          <w:bCs/>
          <w:spacing w:val="0"/>
          <w:kern w:val="0"/>
          <w:sz w:val="24"/>
          <w:szCs w:val="24"/>
          <w:rtl/>
          <w14:ligatures w14:val="none"/>
        </w:rPr>
        <w:t xml:space="preserve">". </w:t>
      </w:r>
      <w:r>
        <w:rPr>
          <w:rFonts w:ascii="David" w:eastAsiaTheme="minorHAnsi" w:hAnsi="David" w:cs="David"/>
          <w:spacing w:val="0"/>
          <w:kern w:val="0"/>
          <w:sz w:val="24"/>
          <w:szCs w:val="24"/>
          <w:rtl/>
          <w14:ligatures w14:val="none"/>
        </w:rPr>
        <w:t xml:space="preserve">בהחלטה על הבקשה  שניתנה ביום 11/5/24 נקבע </w:t>
      </w:r>
      <w:r>
        <w:rPr>
          <w:rFonts w:ascii="David" w:eastAsiaTheme="minorHAnsi" w:hAnsi="David" w:cs="David"/>
          <w:b/>
          <w:bCs/>
          <w:spacing w:val="0"/>
          <w:kern w:val="0"/>
          <w:sz w:val="24"/>
          <w:szCs w:val="24"/>
          <w:rtl/>
          <w14:ligatures w14:val="none"/>
        </w:rPr>
        <w:t xml:space="preserve">" טרם מתן החלטה בבקשה זו תודיע המבקשת מה הבסיס החוקי לבקשתה בתביעה כבר כיצד תומך פסק הדין של כבוד השופטת בן דור תומך בכך תזכורת פנימית 1/6/24". </w:t>
      </w:r>
      <w:r>
        <w:rPr>
          <w:rFonts w:ascii="David" w:eastAsiaTheme="minorHAnsi" w:hAnsi="David" w:cs="David"/>
          <w:spacing w:val="0"/>
          <w:kern w:val="0"/>
          <w:sz w:val="24"/>
          <w:szCs w:val="24"/>
          <w:rtl/>
          <w14:ligatures w14:val="none"/>
        </w:rPr>
        <w:t>(הטעות בכפל המילה תומך במקור).</w:t>
      </w:r>
      <w:r>
        <w:rPr>
          <w:rFonts w:ascii="David" w:eastAsiaTheme="minorHAnsi" w:hAnsi="David" w:cs="David"/>
          <w:b/>
          <w:bCs/>
          <w:spacing w:val="0"/>
          <w:kern w:val="0"/>
          <w:sz w:val="24"/>
          <w:szCs w:val="24"/>
          <w:rtl/>
          <w14:ligatures w14:val="none"/>
        </w:rPr>
        <w:t xml:space="preserve"> </w:t>
      </w:r>
    </w:p>
    <w:p w:rsidR="00CC07EB" w:rsidRDefault="00CC07EB" w:rsidP="00CC07EB">
      <w:pPr>
        <w:pStyle w:val="Ruller4"/>
        <w:tabs>
          <w:tab w:val="left" w:pos="-6153"/>
        </w:tabs>
        <w:ind w:left="84"/>
        <w:rPr>
          <w:rFonts w:ascii="David" w:eastAsiaTheme="minorHAnsi" w:hAnsi="David" w:cs="David"/>
          <w:b/>
          <w:bCs/>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8.</w:t>
      </w:r>
      <w:r>
        <w:rPr>
          <w:rFonts w:ascii="David" w:eastAsiaTheme="minorHAnsi" w:hAnsi="David" w:cs="David"/>
          <w:b/>
          <w:bCs/>
          <w:spacing w:val="0"/>
          <w:kern w:val="0"/>
          <w:sz w:val="24"/>
          <w:szCs w:val="24"/>
          <w:rtl/>
          <w14:ligatures w14:val="none"/>
        </w:rPr>
        <w:tab/>
      </w:r>
      <w:r>
        <w:rPr>
          <w:rFonts w:ascii="David" w:eastAsiaTheme="minorHAnsi" w:hAnsi="David" w:cs="David"/>
          <w:spacing w:val="0"/>
          <w:kern w:val="0"/>
          <w:sz w:val="24"/>
          <w:szCs w:val="24"/>
          <w:rtl/>
          <w14:ligatures w14:val="none"/>
        </w:rPr>
        <w:t xml:space="preserve">תגובת המשיבה הוגשה ביום 12/5/24. </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 xml:space="preserve"> התובעת הפנתה למספר פסקי דין המקימים לדעתה את מתן פסק הדין בהעדר הגנה:</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התובעת הפנתה לפסק דינו של כבוד השופט שוחט ב-</w:t>
      </w:r>
      <w:proofErr w:type="spellStart"/>
      <w:r>
        <w:rPr>
          <w:rFonts w:ascii="David" w:eastAsiaTheme="minorHAnsi" w:hAnsi="David" w:cs="David"/>
          <w:spacing w:val="0"/>
          <w:kern w:val="0"/>
          <w:sz w:val="24"/>
          <w:szCs w:val="24"/>
          <w:u w:val="single"/>
          <w:rtl/>
          <w14:ligatures w14:val="none"/>
        </w:rPr>
        <w:t>רמ"ש</w:t>
      </w:r>
      <w:proofErr w:type="spellEnd"/>
      <w:r>
        <w:rPr>
          <w:rFonts w:ascii="David" w:eastAsiaTheme="minorHAnsi" w:hAnsi="David" w:cs="David"/>
          <w:spacing w:val="0"/>
          <w:kern w:val="0"/>
          <w:sz w:val="24"/>
          <w:szCs w:val="24"/>
          <w:u w:val="single"/>
          <w:rtl/>
          <w14:ligatures w14:val="none"/>
        </w:rPr>
        <w:t xml:space="preserve"> 18810-05-21 </w:t>
      </w:r>
      <w:r>
        <w:rPr>
          <w:rFonts w:ascii="David" w:eastAsiaTheme="minorHAnsi" w:hAnsi="David" w:cs="David"/>
          <w:spacing w:val="0"/>
          <w:kern w:val="0"/>
          <w:sz w:val="24"/>
          <w:szCs w:val="24"/>
          <w:rtl/>
          <w14:ligatures w14:val="none"/>
        </w:rPr>
        <w:t>וציטטה ממנו. מבלי להקדים המאוחר אין בפסק דינו של כבוד השופט שוחט מענה לתהייה בהחלטה מיום 11/5/24  בטרם מתן ההחלטה שכן אין במובא ממנו אלא מושכלות יסוד לרבות הסיפא עליה תלתה התובעת יהבה</w:t>
      </w:r>
      <w:r>
        <w:rPr>
          <w:rFonts w:ascii="David" w:eastAsiaTheme="minorHAnsi" w:hAnsi="David" w:cs="David"/>
          <w:b/>
          <w:bCs/>
          <w:spacing w:val="0"/>
          <w:kern w:val="0"/>
          <w:sz w:val="24"/>
          <w:szCs w:val="24"/>
          <w:rtl/>
          <w14:ligatures w14:val="none"/>
        </w:rPr>
        <w:t xml:space="preserve"> "שתי הוראות חוק אלו מקנים לביהמ"ש שורה של כלים להתמודדות עם סרבנות קשר". </w:t>
      </w:r>
      <w:r>
        <w:rPr>
          <w:rFonts w:ascii="David" w:eastAsiaTheme="minorHAnsi" w:hAnsi="David" w:cs="David"/>
          <w:spacing w:val="0"/>
          <w:kern w:val="0"/>
          <w:sz w:val="24"/>
          <w:szCs w:val="24"/>
          <w:rtl/>
          <w14:ligatures w14:val="none"/>
        </w:rPr>
        <w:t xml:space="preserve">הדיון שם נסב בהקשרנו בשאלת סמכותו של בית המשפט לשלול מזונות מהקטינה מושא הדיון בשל ניכור הורי. נקבע שם ששלילת מזונות אינה אחד מהכלים להתמודדות עם סרבנות קשר. בפסק דינו הבהיר כבוד השופט שוחט גם את משמעות פסיקתו של כבוד השופט גביזון ב- </w:t>
      </w:r>
      <w:proofErr w:type="spellStart"/>
      <w:r>
        <w:rPr>
          <w:rFonts w:ascii="David" w:eastAsiaTheme="minorHAnsi" w:hAnsi="David" w:cs="David"/>
          <w:spacing w:val="0"/>
          <w:kern w:val="0"/>
          <w:sz w:val="24"/>
          <w:szCs w:val="24"/>
          <w:u w:val="single"/>
          <w:rtl/>
          <w14:ligatures w14:val="none"/>
        </w:rPr>
        <w:t>תמ"ש</w:t>
      </w:r>
      <w:proofErr w:type="spellEnd"/>
      <w:r>
        <w:rPr>
          <w:rFonts w:ascii="David" w:eastAsiaTheme="minorHAnsi" w:hAnsi="David" w:cs="David"/>
          <w:spacing w:val="0"/>
          <w:kern w:val="0"/>
          <w:sz w:val="24"/>
          <w:szCs w:val="24"/>
          <w:u w:val="single"/>
          <w:rtl/>
          <w14:ligatures w14:val="none"/>
        </w:rPr>
        <w:t xml:space="preserve"> 3089-05-13 </w:t>
      </w:r>
      <w:r>
        <w:rPr>
          <w:rFonts w:ascii="David" w:eastAsiaTheme="minorHAnsi" w:hAnsi="David" w:cs="David"/>
          <w:spacing w:val="0"/>
          <w:kern w:val="0"/>
          <w:sz w:val="24"/>
          <w:szCs w:val="24"/>
          <w:rtl/>
          <w14:ligatures w14:val="none"/>
        </w:rPr>
        <w:t xml:space="preserve"> (גם אליו הפנה בא כוח התובעת ס' 3 להבהרתו) שם </w:t>
      </w:r>
      <w:r>
        <w:rPr>
          <w:rFonts w:ascii="David" w:eastAsiaTheme="minorHAnsi" w:hAnsi="David" w:cs="David"/>
          <w:b/>
          <w:bCs/>
          <w:spacing w:val="0"/>
          <w:kern w:val="0"/>
          <w:sz w:val="24"/>
          <w:szCs w:val="24"/>
          <w:rtl/>
          <w14:ligatures w14:val="none"/>
        </w:rPr>
        <w:t>"</w:t>
      </w: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 המדובר</w:t>
      </w:r>
      <w:r>
        <w:rPr>
          <w:rFonts w:ascii="David" w:eastAsiaTheme="minorHAnsi" w:hAnsi="David" w:cs="David"/>
          <w:spacing w:val="0"/>
          <w:kern w:val="0"/>
          <w:sz w:val="24"/>
          <w:szCs w:val="24"/>
          <w:rtl/>
          <w14:ligatures w14:val="none"/>
        </w:rPr>
        <w:t xml:space="preserve"> [...]</w:t>
      </w:r>
      <w:r>
        <w:rPr>
          <w:rFonts w:ascii="David" w:eastAsiaTheme="minorHAnsi" w:hAnsi="David" w:cs="David"/>
          <w:b/>
          <w:bCs/>
          <w:spacing w:val="0"/>
          <w:kern w:val="0"/>
          <w:sz w:val="24"/>
          <w:szCs w:val="24"/>
          <w:rtl/>
          <w14:ligatures w14:val="none"/>
        </w:rPr>
        <w:t xml:space="preserve"> בעתירה של סבים להיות בקשר עם נכדם,  עתירה לה נעתר ביהמ"ש, תוך שהוא מחייב את הסבים את האם ואת הקטין, מכוח סמכותו לפי סעיף 68 (א) לחוק הכשרות המשפטית והאפוטרופסות לקחת חלק בהליך הטיפולי"</w:t>
      </w:r>
      <w:r>
        <w:rPr>
          <w:rFonts w:ascii="David" w:eastAsiaTheme="minorHAnsi" w:hAnsi="David" w:cs="David"/>
          <w:spacing w:val="0"/>
          <w:kern w:val="0"/>
          <w:sz w:val="24"/>
          <w:szCs w:val="24"/>
          <w:rtl/>
          <w14:ligatures w14:val="none"/>
        </w:rPr>
        <w:t>.</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u w:val="single"/>
          <w:rtl/>
          <w14:ligatures w14:val="none"/>
        </w:rPr>
      </w:pPr>
      <w:r>
        <w:rPr>
          <w:rFonts w:ascii="David" w:eastAsiaTheme="minorHAnsi" w:hAnsi="David" w:cs="David"/>
          <w:spacing w:val="0"/>
          <w:kern w:val="0"/>
          <w:sz w:val="24"/>
          <w:szCs w:val="24"/>
          <w:rtl/>
          <w14:ligatures w14:val="none"/>
        </w:rPr>
        <w:tab/>
        <w:t xml:space="preserve">פסק דין נוסף אליו הפנתה התובעת הוא של כבוד השופטת אורית בן דור ליבל ב- </w:t>
      </w:r>
      <w:proofErr w:type="spellStart"/>
      <w:r>
        <w:rPr>
          <w:rFonts w:ascii="David" w:eastAsiaTheme="minorHAnsi" w:hAnsi="David" w:cs="David"/>
          <w:spacing w:val="0"/>
          <w:kern w:val="0"/>
          <w:sz w:val="24"/>
          <w:szCs w:val="24"/>
          <w:u w:val="single"/>
          <w:rtl/>
          <w14:ligatures w14:val="none"/>
        </w:rPr>
        <w:t>תלה"מ</w:t>
      </w:r>
      <w:proofErr w:type="spellEnd"/>
      <w:r>
        <w:rPr>
          <w:rFonts w:ascii="David" w:eastAsiaTheme="minorHAnsi" w:hAnsi="David" w:cs="David"/>
          <w:spacing w:val="0"/>
          <w:kern w:val="0"/>
          <w:sz w:val="24"/>
          <w:szCs w:val="24"/>
          <w:u w:val="single"/>
          <w:rtl/>
          <w14:ligatures w14:val="none"/>
        </w:rPr>
        <w:t xml:space="preserve"> 15749-02-21 </w:t>
      </w:r>
      <w:r>
        <w:rPr>
          <w:rFonts w:ascii="David" w:eastAsiaTheme="minorHAnsi" w:hAnsi="David" w:cs="David"/>
          <w:spacing w:val="0"/>
          <w:kern w:val="0"/>
          <w:sz w:val="24"/>
          <w:szCs w:val="24"/>
          <w:rtl/>
          <w14:ligatures w14:val="none"/>
        </w:rPr>
        <w:t xml:space="preserve">. </w:t>
      </w:r>
    </w:p>
    <w:p w:rsidR="00CC07EB" w:rsidRDefault="00CC07EB" w:rsidP="00CC07EB">
      <w:pPr>
        <w:pStyle w:val="Ruller4"/>
        <w:tabs>
          <w:tab w:val="left" w:pos="-6153"/>
        </w:tabs>
        <w:ind w:left="714" w:hanging="630"/>
        <w:rPr>
          <w:rFonts w:ascii="David" w:eastAsiaTheme="minorHAnsi" w:hAnsi="David" w:cs="David"/>
          <w:spacing w:val="0"/>
          <w:kern w:val="0"/>
          <w:sz w:val="24"/>
          <w:szCs w:val="24"/>
          <w:u w:val="single"/>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9.</w:t>
      </w:r>
      <w:r>
        <w:rPr>
          <w:rFonts w:ascii="David" w:eastAsiaTheme="minorHAnsi" w:hAnsi="David" w:cs="David"/>
          <w:spacing w:val="0"/>
          <w:kern w:val="0"/>
          <w:sz w:val="24"/>
          <w:szCs w:val="24"/>
          <w:rtl/>
          <w14:ligatures w14:val="none"/>
        </w:rPr>
        <w:tab/>
        <w:t>זה המקום לאתנחתא טרם התייחסות לפסק הדין של כבוד השופטת בן דור ליבל. ראוי להדגיש שעובדות מקרה שהובילו למתן פסק הדין הן בליבו של פסק הדין וברי שאין מקרה אחד דומה למשנהו. לא בכדי טורחים בתי המשפט בתיאור העובדתי בפסקי הדין. הוצאת אמירה שיפוטית, (גם אם אינה הלכה) מתוך כוונה  להעיד על הנורמה תוך ניתוק מהעובדות אין לה דבר וחצי דבר עם תרומה להליך.</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10.</w:t>
      </w:r>
      <w:r>
        <w:rPr>
          <w:rFonts w:ascii="David" w:eastAsiaTheme="minorHAnsi" w:hAnsi="David" w:cs="David"/>
          <w:spacing w:val="0"/>
          <w:kern w:val="0"/>
          <w:sz w:val="24"/>
          <w:szCs w:val="24"/>
          <w:rtl/>
          <w14:ligatures w14:val="none"/>
        </w:rPr>
        <w:tab/>
        <w:t>פסק דינה של כבוד השופטת בן דור ליבל ניתן לאחר קבלת תסקיר עו"ס לסדרי דין וקיום דיון הוכחות. ויתמה השואל: הרי הנתבע לא הגיש הגנה וכיצד ניתן יהיה להמשיך בהליכים?</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 xml:space="preserve"> באנלוגיה לדברים שהובאו בקשר לארגז הכלים של בתי המשפט הרי שבארגז הכלים של עורכי הדין כלים לאיתורו של בעל דין. דומה שקשה להעלות על הדעת אי מציאתו של בעל דין בארץ ומכוח כך האפשרויות המשפטיות העומדות לרשותו של עורך הדין. </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11.</w:t>
      </w:r>
      <w:r>
        <w:rPr>
          <w:rFonts w:ascii="David" w:eastAsiaTheme="minorHAnsi" w:hAnsi="David" w:cs="David"/>
          <w:spacing w:val="0"/>
          <w:kern w:val="0"/>
          <w:sz w:val="24"/>
          <w:szCs w:val="24"/>
          <w:rtl/>
          <w14:ligatures w14:val="none"/>
        </w:rPr>
        <w:tab/>
        <w:t xml:space="preserve">בקציר האומר יודגש שהעובדות בפסק דינה של כבוד השופטת בן דור ליבל  שונות בתכלית.  שם טען האב שהסדרי השהות שהוסכמו בינו לבין האם היו הסדרי "רשות". האב טען זאת בהסתמך על המילה "רשאי" שצורפה להסדרי השהות. משכך, ומשעה שהאב עשב שימוש </w:t>
      </w:r>
      <w:r>
        <w:rPr>
          <w:rFonts w:ascii="David" w:eastAsiaTheme="minorHAnsi" w:hAnsi="David" w:cs="David"/>
          <w:spacing w:val="0"/>
          <w:kern w:val="0"/>
          <w:sz w:val="24"/>
          <w:szCs w:val="24"/>
          <w:rtl/>
          <w14:ligatures w14:val="none"/>
        </w:rPr>
        <w:lastRenderedPageBreak/>
        <w:t xml:space="preserve">בפרשנותו זו לקיום הסדרי השהות ביקשה האם להפכם להסדרי שהות מחייבים, ולהטיל על האב סנקציה ככל שיופרו על ידו. </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המקרה שלפני שונה. בפסק הדין שתיקף את הסכמות הצדדים ובהסכמות עצמן אין הסדרי 'רשות' של הסדרי השהייה של האב עם הילדים או כוונה משתמעת מההסכמה שמדובר בהסדרי שהות שלאב הזכות לקיימם אם לאו. נהפוך הוא. הלשון הקובעת את הסדרי השהות ציווית: "</w:t>
      </w:r>
      <w:r>
        <w:rPr>
          <w:rFonts w:ascii="David" w:hAnsi="David" w:cs="David"/>
          <w:b/>
          <w:bCs/>
          <w:sz w:val="24"/>
          <w:szCs w:val="24"/>
          <w:rtl/>
        </w:rPr>
        <w:t xml:space="preserve"> זמני השהות יהיו </w:t>
      </w:r>
      <w:r>
        <w:rPr>
          <w:rFonts w:ascii="David" w:hAnsi="David" w:cs="David"/>
          <w:sz w:val="24"/>
          <w:szCs w:val="24"/>
          <w:rtl/>
        </w:rPr>
        <w:t>[...]"</w:t>
      </w:r>
      <w:r>
        <w:rPr>
          <w:rFonts w:ascii="David" w:eastAsiaTheme="minorHAnsi" w:hAnsi="David" w:cs="David"/>
          <w:spacing w:val="0"/>
          <w:kern w:val="0"/>
          <w:sz w:val="24"/>
          <w:szCs w:val="24"/>
          <w:rtl/>
          <w14:ligatures w14:val="none"/>
        </w:rPr>
        <w:t>. אם כך מה טעם במתן פסק דין נוסף אם נכונה טענת האם שהאב אינו מקיים את פסק הדין הראשון המחייב אותו בהסדרי שהות עם הילדים? כיצד יסייע פסק דין נוסף? אמור מעתה שאין כל מקום לחיוב נוסף, פסק דין נוסף,  ביחס להסדרי השהות המוסכמים.</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12.</w:t>
      </w:r>
      <w:r>
        <w:rPr>
          <w:rFonts w:ascii="David" w:eastAsiaTheme="minorHAnsi" w:hAnsi="David" w:cs="David"/>
          <w:spacing w:val="0"/>
          <w:kern w:val="0"/>
          <w:sz w:val="24"/>
          <w:szCs w:val="24"/>
          <w:rtl/>
          <w14:ligatures w14:val="none"/>
        </w:rPr>
        <w:tab/>
        <w:t>באים אנו למהות הבקשה והיא הסנקציה הכספית אשר תחייב את האב בהסדרי שהות ובכך תמנע "</w:t>
      </w:r>
      <w:r>
        <w:rPr>
          <w:rFonts w:ascii="David" w:eastAsiaTheme="minorHAnsi" w:hAnsi="David" w:cs="David"/>
          <w:b/>
          <w:bCs/>
          <w:spacing w:val="0"/>
          <w:kern w:val="0"/>
          <w:sz w:val="24"/>
          <w:szCs w:val="24"/>
          <w:rtl/>
          <w14:ligatures w14:val="none"/>
        </w:rPr>
        <w:t>פגיעה אנושה</w:t>
      </w:r>
      <w:r>
        <w:rPr>
          <w:rFonts w:ascii="David" w:eastAsiaTheme="minorHAnsi" w:hAnsi="David" w:cs="David"/>
          <w:spacing w:val="0"/>
          <w:kern w:val="0"/>
          <w:sz w:val="24"/>
          <w:szCs w:val="24"/>
          <w:rtl/>
          <w14:ligatures w14:val="none"/>
        </w:rPr>
        <w:t xml:space="preserve">" בקטינים.  ביני לביני איני יודע מכוח מה נטענת טענה זו ועל בסיס מה שעה שאין לפני כל אסמכתא של איש מקצוע המתקף זאת. ברי שהקשר של הילדים עם האב הוא קריטי ומשמעותי להתפתחותם. אין צורך להכביר מילים על כך. אלא מאי? שהתובעת סוברת שהסנקציה הכספית תמנע את אותה פגיעה אנושה,  ולא היא. </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 xml:space="preserve">משאמרנו זאת תמצתנו את הכשל שבבקשה למתן פסק דין בהעדר הגנה שדווקא בה יש משום פגיעה אפשרית בקטינים. צא וחשוב. לו התקבלה הבקשה ונפסק סך כלשהו על כל אי עמידה בהסדרי השהות  (על פי שקול דעת בית המשפט וללא קשר לצורך כלשהו של הילדים) האם בכך היה הדבר מיטיב את מצבם הנפשי של הילדים? דומני שלא. ההפך הוא הנכון. קביעה כזו הייתה "משחררת" את האב מחיי הילדים והוא, אם יש ממש בטענות התובעת, היה עשוי להחליף את המהות בתשלום זה. </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13.</w:t>
      </w:r>
      <w:r>
        <w:rPr>
          <w:rFonts w:ascii="David" w:eastAsiaTheme="minorHAnsi" w:hAnsi="David" w:cs="David"/>
          <w:spacing w:val="0"/>
          <w:kern w:val="0"/>
          <w:sz w:val="24"/>
          <w:szCs w:val="24"/>
          <w:rtl/>
          <w14:ligatures w14:val="none"/>
        </w:rPr>
        <w:tab/>
        <w:t>חלקי אינו עם אלה המאמינים בסנקציות כספיות בהליכי הורות מקל וחומר שהקביעה היא אפריורי. לטעמי הדרך הנכונה היא מתן מענה לצרכי הילדים על פי הנצמח מהתעלמות האב  מהסדרי השהות, מהצורך לשהות עם ילדיו. מתן פסק דין כמבוקש מובילה לטעמי לתוצאה הפוכה מהמבוקש- לפחות על פי המוצג בתביעה.</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14.</w:t>
      </w:r>
      <w:r>
        <w:rPr>
          <w:rFonts w:ascii="David" w:eastAsiaTheme="minorHAnsi" w:hAnsi="David" w:cs="David"/>
          <w:spacing w:val="0"/>
          <w:kern w:val="0"/>
          <w:sz w:val="24"/>
          <w:szCs w:val="24"/>
          <w:rtl/>
          <w14:ligatures w14:val="none"/>
        </w:rPr>
        <w:tab/>
        <w:t xml:space="preserve">בהקשר זה ראוי לציין שההמתנה בת כ- 10 חודשים לאכיפת הסדרי שהות עם האב מחייבת בהכרח התבוננות של איש מקצוע, עו"ס לסדרי דין שכן מניין לתובעת  מה העכבות בקשר המתחדש בין האב לילדים ובעיקר להפך, הכיצד נכון לעשות כן? כיצד נכון לחדש הקשר? </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15.</w:t>
      </w:r>
      <w:r>
        <w:rPr>
          <w:rFonts w:ascii="David" w:eastAsiaTheme="minorHAnsi" w:hAnsi="David" w:cs="David"/>
          <w:spacing w:val="0"/>
          <w:kern w:val="0"/>
          <w:sz w:val="24"/>
          <w:szCs w:val="24"/>
          <w:rtl/>
          <w14:ligatures w14:val="none"/>
        </w:rPr>
        <w:tab/>
        <w:t>מבלי לגרוע באמור ותפיסתי שלי את מקומן של סנקציות כלכליות בהורות ראוי היה לקרוא את דבריה של כבוד השופטת בן דור ליבל בהקשר זה ובזו הלשון:</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1"/>
        <w:spacing w:line="360" w:lineRule="auto"/>
        <w:ind w:left="714"/>
        <w:jc w:val="both"/>
        <w:rPr>
          <w:rFonts w:ascii="David" w:hAnsi="David"/>
          <w:b/>
          <w:bCs/>
          <w:noProof w:val="0"/>
          <w:rtl/>
        </w:rPr>
      </w:pPr>
      <w:r>
        <w:rPr>
          <w:rFonts w:ascii="Calibri" w:hAnsi="Calibri"/>
          <w:noProof w:val="0"/>
          <w:rtl/>
        </w:rPr>
        <w:t>"</w:t>
      </w:r>
      <w:r>
        <w:rPr>
          <w:rFonts w:ascii="David" w:hAnsi="David"/>
          <w:b/>
          <w:bCs/>
          <w:noProof w:val="0"/>
          <w:rtl/>
        </w:rPr>
        <w:t xml:space="preserve">השתכנעתי אפוא שהתסקיר מהווה תשקיף נאמן למסכת העובדות והמציאות שנדונה בבית המשפט. מסכת עובדתית זו מנחה את המסקנות המקצועיות המתבקשות ממנה, </w:t>
      </w:r>
      <w:r>
        <w:rPr>
          <w:rFonts w:ascii="David" w:hAnsi="David"/>
          <w:b/>
          <w:bCs/>
          <w:noProof w:val="0"/>
          <w:rtl/>
        </w:rPr>
        <w:lastRenderedPageBreak/>
        <w:t xml:space="preserve">כפי שבאו לידי ביטוי בהמלצות לקביעת זמני שהות שהם בגדר חובה וכן לקביעת זמני שהות הכוללים לינה, כפי שנקבע בהסכם שקיבל תוקף של פסק דין. </w:t>
      </w:r>
    </w:p>
    <w:p w:rsidR="00CC07EB" w:rsidRDefault="00CC07EB" w:rsidP="00CC07EB">
      <w:pPr>
        <w:pStyle w:val="1"/>
        <w:spacing w:line="360" w:lineRule="auto"/>
        <w:jc w:val="both"/>
        <w:rPr>
          <w:rFonts w:ascii="David" w:hAnsi="David"/>
          <w:b/>
          <w:bCs/>
          <w:noProof w:val="0"/>
          <w:rtl/>
        </w:rPr>
      </w:pPr>
    </w:p>
    <w:p w:rsidR="00CC07EB" w:rsidRDefault="00CC07EB" w:rsidP="00CC07EB">
      <w:pPr>
        <w:pStyle w:val="1"/>
        <w:spacing w:line="360" w:lineRule="auto"/>
        <w:ind w:left="714"/>
        <w:jc w:val="both"/>
        <w:rPr>
          <w:rFonts w:ascii="David" w:hAnsi="David"/>
          <w:noProof w:val="0"/>
        </w:rPr>
      </w:pPr>
      <w:r>
        <w:rPr>
          <w:rFonts w:ascii="David" w:hAnsi="David"/>
          <w:b/>
          <w:bCs/>
          <w:noProof w:val="0"/>
          <w:rtl/>
        </w:rPr>
        <w:t xml:space="preserve">התובעת עתרה לחיוב הנתבע בסנקציה בגין הפרת הסדרי השהות של הקטינים עמו. סנקציה היא בעלת היבט עונשי ומהווה כרגיל אמצעי אכיפה הננקט בדיעבד, לאחר אזהרה מתאימה ותוך שיקול דעת, וככלל אין זה מתאים לקבוע סנקציה מראש ובוודאי שלא מתוך כוונה לעודד קשר הורה ילד. קביעה מראש של סנקציה לא בגין הפרעה לקשר של אחד ההורים אלא כתמריץ שלילי להורה שלא יקיים קשר עלולה לגרום בדיוק את ההיפך. היא עלולה להעצים את הסכסוך בין ההרים והיא איננה עידוד לקשר החם והרצוי בין הורה לילדו. עיון בפסיקת בתי המשפט מגלה כי עיתים, גם כאשר הייתה הסכמה בין הצדדים על קיום הסדרי שהות עם הקטינים, סבר בית המשפט כי הוספת סנקציה המחייבת הורה לקיים את הסדרי השהות המוסכמים יכולה להרע ולהזיק לתא המשפחתי, כך </w:t>
      </w:r>
      <w:proofErr w:type="spellStart"/>
      <w:r>
        <w:rPr>
          <w:rFonts w:ascii="David" w:hAnsi="David"/>
          <w:b/>
          <w:bCs/>
          <w:noProof w:val="0"/>
          <w:rtl/>
        </w:rPr>
        <w:t>ב</w:t>
      </w:r>
      <w:hyperlink r:id="rId5" w:history="1">
        <w:r>
          <w:rPr>
            <w:rStyle w:val="Hyperlink"/>
            <w:rFonts w:ascii="David" w:hAnsi="David"/>
            <w:b/>
            <w:bCs/>
            <w:noProof w:val="0"/>
            <w:rtl/>
          </w:rPr>
          <w:t>תמש</w:t>
        </w:r>
        <w:proofErr w:type="spellEnd"/>
        <w:r>
          <w:rPr>
            <w:rStyle w:val="Hyperlink"/>
            <w:rFonts w:ascii="David" w:hAnsi="David"/>
            <w:b/>
            <w:bCs/>
            <w:noProof w:val="0"/>
            <w:rtl/>
          </w:rPr>
          <w:t xml:space="preserve"> (חדרה) 3426/02</w:t>
        </w:r>
      </w:hyperlink>
      <w:r>
        <w:rPr>
          <w:rFonts w:ascii="David" w:hAnsi="David"/>
          <w:b/>
          <w:bCs/>
          <w:noProof w:val="0"/>
          <w:rtl/>
        </w:rPr>
        <w:t xml:space="preserve"> - ס. י. נ' ס.א. ת.ז. (פורסם בנבו, 29.8.07)] נקבע ע"י כב' השופטת גליק כי יש לבטל סעיף שנוסף להסכמות הצדדים לפיו יוטלו סנקציות כספיות על ההורה אשר יפר את הסדרי השהות שנקבעו לו : "... בדיעבד הסתבר שדווקא סעיף זה, עקב נסיבותיהם המיוחדות של הצדדים, עמד להם לרועץ והחריף את הקרע ביניהם, וכתוצאה ממנו גם את הקרע עם הקטינים. לפיכך ולאחר שראיתי את התסקירים ונוכחתי בדינמיקה המשפחתית הכוללת, מצאתי כי דווקא ביטולו של סעיף זה יהיה לטובת הקטינים, לעומת השארת הסעיף על כנו"</w:t>
      </w:r>
      <w:r>
        <w:rPr>
          <w:rFonts w:ascii="Miriam" w:hAnsi="Miriam" w:cs="Miriam"/>
          <w:b/>
          <w:bCs/>
          <w:noProof w:val="0"/>
          <w:rtl/>
        </w:rPr>
        <w:t xml:space="preserve">. </w:t>
      </w:r>
      <w:r>
        <w:rPr>
          <w:rFonts w:ascii="David" w:hAnsi="David"/>
          <w:noProof w:val="0"/>
          <w:rtl/>
        </w:rPr>
        <w:t>"</w:t>
      </w:r>
      <w:r>
        <w:rPr>
          <w:rFonts w:ascii="Miriam" w:hAnsi="Miriam" w:cs="Miriam"/>
          <w:noProof w:val="0"/>
          <w:rtl/>
        </w:rPr>
        <w:t xml:space="preserve"> </w:t>
      </w:r>
      <w:r>
        <w:rPr>
          <w:rFonts w:ascii="David" w:hAnsi="David"/>
          <w:noProof w:val="0"/>
          <w:rtl/>
        </w:rPr>
        <w:t>(</w:t>
      </w:r>
      <w:proofErr w:type="spellStart"/>
      <w:r>
        <w:rPr>
          <w:rFonts w:ascii="David" w:hAnsi="David"/>
          <w:noProof w:val="0"/>
          <w:u w:val="single"/>
          <w:rtl/>
        </w:rPr>
        <w:t>תלה"מ</w:t>
      </w:r>
      <w:proofErr w:type="spellEnd"/>
      <w:r>
        <w:rPr>
          <w:rFonts w:ascii="David" w:hAnsi="David"/>
          <w:noProof w:val="0"/>
          <w:u w:val="single"/>
          <w:rtl/>
        </w:rPr>
        <w:t xml:space="preserve"> (י-ם) 15749-02-21</w:t>
      </w:r>
      <w:r>
        <w:rPr>
          <w:rFonts w:ascii="David" w:hAnsi="David"/>
          <w:noProof w:val="0"/>
          <w:rtl/>
        </w:rPr>
        <w:t xml:space="preserve"> </w:t>
      </w:r>
      <w:r>
        <w:rPr>
          <w:rFonts w:ascii="David" w:hAnsi="David"/>
          <w:b/>
          <w:bCs/>
          <w:noProof w:val="0"/>
          <w:rtl/>
        </w:rPr>
        <w:t xml:space="preserve">ע' </w:t>
      </w:r>
      <w:r>
        <w:rPr>
          <w:rFonts w:ascii="David" w:hAnsi="David"/>
          <w:noProof w:val="0"/>
          <w:rtl/>
        </w:rPr>
        <w:t xml:space="preserve">נ. </w:t>
      </w:r>
      <w:r>
        <w:rPr>
          <w:rFonts w:ascii="David" w:hAnsi="David"/>
          <w:b/>
          <w:bCs/>
          <w:noProof w:val="0"/>
          <w:rtl/>
        </w:rPr>
        <w:t xml:space="preserve">נ' </w:t>
      </w:r>
      <w:r>
        <w:rPr>
          <w:rFonts w:ascii="David" w:hAnsi="David"/>
          <w:noProof w:val="0"/>
          <w:rtl/>
        </w:rPr>
        <w:t xml:space="preserve"> (29/3/2024) ס' 25-24 לפסק הדין).</w:t>
      </w:r>
    </w:p>
    <w:p w:rsidR="00CC07EB" w:rsidRDefault="00CC07EB" w:rsidP="00CC07EB">
      <w:pPr>
        <w:pStyle w:val="Ruller4"/>
        <w:tabs>
          <w:tab w:val="left" w:pos="-6153"/>
        </w:tabs>
        <w:ind w:left="714" w:hanging="630"/>
        <w:rPr>
          <w:rFonts w:ascii="David" w:eastAsiaTheme="minorHAnsi" w:hAnsi="David" w:cs="David"/>
          <w:spacing w:val="0"/>
          <w:kern w:val="0"/>
          <w:sz w:val="24"/>
          <w:szCs w:val="24"/>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16.</w:t>
      </w:r>
      <w:r>
        <w:rPr>
          <w:rFonts w:ascii="David" w:eastAsiaTheme="minorHAnsi" w:hAnsi="David" w:cs="David"/>
          <w:spacing w:val="0"/>
          <w:kern w:val="0"/>
          <w:sz w:val="24"/>
          <w:szCs w:val="24"/>
          <w:rtl/>
          <w14:ligatures w14:val="none"/>
        </w:rPr>
        <w:tab/>
        <w:t>לאור כל האמור לעיל הבקשה למתן פסק דין בהעדר הגנה נדחית.</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17.</w:t>
      </w:r>
      <w:r>
        <w:rPr>
          <w:rFonts w:ascii="David" w:eastAsiaTheme="minorHAnsi" w:hAnsi="David" w:cs="David"/>
          <w:spacing w:val="0"/>
          <w:kern w:val="0"/>
          <w:sz w:val="24"/>
          <w:szCs w:val="24"/>
          <w:rtl/>
          <w14:ligatures w14:val="none"/>
        </w:rPr>
        <w:tab/>
        <w:t xml:space="preserve">ראוי היה להשית על התובעת (המבקשת) הוצאות לטובת אוצר המדינה. ברם, לעת הזו לא מצאתי לעשות כן ורק מן הטעם שהיא מיוצגת על ידי הסיוע המשפטי. </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18.</w:t>
      </w:r>
      <w:r>
        <w:rPr>
          <w:rFonts w:ascii="David" w:eastAsiaTheme="minorHAnsi" w:hAnsi="David" w:cs="David"/>
          <w:spacing w:val="0"/>
          <w:kern w:val="0"/>
          <w:sz w:val="24"/>
          <w:szCs w:val="24"/>
          <w:rtl/>
          <w14:ligatures w14:val="none"/>
        </w:rPr>
        <w:tab/>
        <w:t>מתיר פרסום ההחלטה בהשמטת פרטים מזהים.</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19.</w:t>
      </w:r>
      <w:r>
        <w:rPr>
          <w:rFonts w:ascii="David" w:eastAsiaTheme="minorHAnsi" w:hAnsi="David" w:cs="David"/>
          <w:spacing w:val="0"/>
          <w:kern w:val="0"/>
          <w:sz w:val="24"/>
          <w:szCs w:val="24"/>
          <w:rtl/>
          <w14:ligatures w14:val="none"/>
        </w:rPr>
        <w:tab/>
        <w:t>תואיל המזכירות לסגור הבקשה.</w:t>
      </w:r>
    </w:p>
    <w:p w:rsidR="00CC07EB" w:rsidRDefault="00CC07EB" w:rsidP="00CC07EB">
      <w:pPr>
        <w:pStyle w:val="Ruller4"/>
        <w:tabs>
          <w:tab w:val="left" w:pos="-6153"/>
        </w:tabs>
        <w:ind w:left="714" w:hanging="630"/>
        <w:rPr>
          <w:rFonts w:ascii="David" w:eastAsiaTheme="minorHAnsi" w:hAnsi="David" w:cs="David"/>
          <w:spacing w:val="0"/>
          <w:kern w:val="0"/>
          <w:sz w:val="24"/>
          <w:szCs w:val="24"/>
          <w:rtl/>
          <w14:ligatures w14:val="none"/>
        </w:rPr>
      </w:pPr>
    </w:p>
    <w:p w:rsidR="00CC07EB" w:rsidRDefault="00CC07EB" w:rsidP="00CC07EB">
      <w:pPr>
        <w:pStyle w:val="Ruller4"/>
        <w:tabs>
          <w:tab w:val="left" w:pos="-6153"/>
        </w:tabs>
        <w:ind w:left="714" w:hanging="630"/>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ab/>
      </w:r>
      <w:r>
        <w:rPr>
          <w:rFonts w:ascii="David" w:eastAsiaTheme="minorHAnsi" w:hAnsi="David" w:cs="David"/>
          <w:b/>
          <w:bCs/>
          <w:spacing w:val="0"/>
          <w:kern w:val="0"/>
          <w:sz w:val="24"/>
          <w:szCs w:val="24"/>
          <w:rtl/>
          <w14:ligatures w14:val="none"/>
        </w:rPr>
        <w:t xml:space="preserve"> </w:t>
      </w:r>
    </w:p>
    <w:p w:rsidR="00CC07EB" w:rsidRDefault="00CC07EB" w:rsidP="00CC07EB">
      <w:pPr>
        <w:pStyle w:val="Ruller4"/>
        <w:tabs>
          <w:tab w:val="left" w:pos="-6153"/>
        </w:tabs>
        <w:ind w:left="714" w:hanging="630"/>
        <w:rPr>
          <w:rFonts w:ascii="Arial" w:hAnsi="Arial"/>
          <w:rtl/>
        </w:rPr>
      </w:pPr>
      <w:r>
        <w:rPr>
          <w:rFonts w:ascii="David" w:eastAsiaTheme="minorHAnsi" w:hAnsi="David" w:cs="David"/>
          <w:b/>
          <w:bCs/>
          <w:spacing w:val="0"/>
          <w:kern w:val="0"/>
          <w:sz w:val="24"/>
          <w:szCs w:val="24"/>
          <w:rtl/>
          <w14:ligatures w14:val="none"/>
        </w:rPr>
        <w:t xml:space="preserve">   </w:t>
      </w:r>
    </w:p>
    <w:p w:rsidR="00CC07EB" w:rsidRDefault="00CC07EB" w:rsidP="00CC07EB">
      <w:pPr>
        <w:spacing w:line="360" w:lineRule="auto"/>
        <w:jc w:val="both"/>
        <w:rPr>
          <w:rFonts w:ascii="Arial" w:hAnsi="Arial"/>
          <w:noProof w:val="0"/>
          <w:rtl/>
        </w:rPr>
      </w:pPr>
    </w:p>
    <w:p w:rsidR="00CC07EB" w:rsidRDefault="00CC07EB" w:rsidP="00CC07EB">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י' סיוון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יוני 2024</w:t>
          </w:r>
        </w:sdtContent>
      </w:sdt>
      <w:r>
        <w:rPr>
          <w:rFonts w:ascii="Arial" w:hAnsi="Arial"/>
          <w:noProof w:val="0"/>
          <w:rtl/>
        </w:rPr>
        <w:t>, בהעדר הצדדים.</w:t>
      </w:r>
    </w:p>
    <w:p w:rsidR="00CC07EB" w:rsidRDefault="0072122B" w:rsidP="00CC07EB">
      <w:pPr>
        <w:tabs>
          <w:tab w:val="left" w:pos="2553"/>
        </w:tabs>
        <w:ind w:left="5040"/>
        <w:rPr>
          <w:rtl/>
        </w:rPr>
      </w:pPr>
      <w:sdt>
        <w:sdtPr>
          <w:rPr>
            <w:rtl/>
          </w:rPr>
          <w:alias w:val="2045"/>
          <w:tag w:val="2045"/>
          <w:id w:val="740689340"/>
          <w:placeholder>
            <w:docPart w:val="AE479FF2D62F4D30AD9229A2F66F4986"/>
          </w:placeholder>
          <w:showingPlcHdr/>
          <w:text w:multiLine="1"/>
        </w:sdtPr>
        <w:sdtEndPr/>
        <w:sdtContent>
          <w:r w:rsidR="00CC07EB">
            <w:rPr>
              <w:rtl/>
            </w:rPr>
            <w:t xml:space="preserve">     </w:t>
          </w:r>
        </w:sdtContent>
      </w:sdt>
    </w:p>
    <w:p w:rsidR="00CC07EB" w:rsidRDefault="00CC07EB" w:rsidP="00CC07EB">
      <w:pPr>
        <w:tabs>
          <w:tab w:val="left" w:pos="2553"/>
        </w:tabs>
        <w:rPr>
          <w:rtl/>
        </w:rPr>
      </w:pPr>
      <w:r>
        <w:rPr>
          <w:rtl/>
        </w:rPr>
        <w:lastRenderedPageBreak/>
        <w:tab/>
      </w:r>
      <w:r>
        <w:rPr>
          <w:rtl/>
        </w:rPr>
        <w:tab/>
      </w:r>
      <w:r>
        <w:rPr>
          <w:rtl/>
        </w:rPr>
        <w:tab/>
      </w:r>
      <w:r>
        <w:rPr>
          <w:rtl/>
        </w:rPr>
        <w:tab/>
        <w:t xml:space="preserve">        </w:t>
      </w:r>
      <w:sdt>
        <w:sdtPr>
          <w:rPr>
            <w:rtl/>
          </w:rPr>
          <w:alias w:val="MergeField"/>
          <w:tag w:val="1237"/>
          <w:id w:val="-1079744253"/>
        </w:sdtPr>
        <w:sdtEndPr/>
        <w:sdtContent>
          <w:r>
            <w:drawing>
              <wp:inline distT="0" distB="0" distL="0" distR="0">
                <wp:extent cx="1685925" cy="100965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CC07EB" w:rsidRDefault="00CC07EB" w:rsidP="00CC07EB">
      <w:pPr>
        <w:tabs>
          <w:tab w:val="left" w:pos="2553"/>
        </w:tabs>
        <w:rPr>
          <w:rFonts w:ascii="Arial" w:hAnsi="Arial"/>
          <w:noProof w:val="0"/>
        </w:rPr>
      </w:pPr>
    </w:p>
    <w:p w:rsidR="00CC07EB" w:rsidRPr="00CC07EB" w:rsidRDefault="00CC07EB" w:rsidP="00CC07EB"/>
    <w:p w:rsidR="00CC07EB" w:rsidRPr="00CC07EB" w:rsidRDefault="00CC07EB" w:rsidP="00CC07EB"/>
    <w:p w:rsidR="00CC07EB" w:rsidRPr="00CC07EB" w:rsidRDefault="00CC07EB" w:rsidP="00CC07EB"/>
    <w:p w:rsidR="00CC07EB" w:rsidRDefault="00CC07EB" w:rsidP="00CC07EB"/>
    <w:p w:rsidR="00CC07EB" w:rsidRDefault="00CC07EB" w:rsidP="00CC07EB"/>
    <w:p w:rsidR="00512360" w:rsidRPr="00CC07EB" w:rsidRDefault="00512360" w:rsidP="00CC07EB">
      <w:pPr>
        <w:ind w:firstLine="720"/>
      </w:pPr>
    </w:p>
    <w:sectPr w:rsidR="00512360" w:rsidRPr="00CC07EB"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7EB"/>
    <w:rsid w:val="00512360"/>
    <w:rsid w:val="0072122B"/>
    <w:rsid w:val="00C11DC6"/>
    <w:rsid w:val="00CC07EB"/>
    <w:rsid w:val="00CF5E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C8E06F-BF10-4499-B673-0A3A7005F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7E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CC07EB"/>
    <w:pPr>
      <w:tabs>
        <w:tab w:val="center" w:pos="4153"/>
        <w:tab w:val="right" w:pos="8306"/>
      </w:tabs>
    </w:pPr>
  </w:style>
  <w:style w:type="character" w:customStyle="1" w:styleId="a4">
    <w:name w:val="כותרת עליונה תו"/>
    <w:basedOn w:val="a0"/>
    <w:link w:val="a3"/>
    <w:semiHidden/>
    <w:rsid w:val="00CC07EB"/>
    <w:rPr>
      <w:rFonts w:ascii="Times New Roman" w:eastAsia="Times New Roman" w:hAnsi="Times New Roman" w:cs="David"/>
      <w:noProof/>
      <w:sz w:val="24"/>
      <w:szCs w:val="24"/>
    </w:rPr>
  </w:style>
  <w:style w:type="paragraph" w:styleId="NormalWeb">
    <w:name w:val="Normal (Web)"/>
    <w:basedOn w:val="a"/>
    <w:uiPriority w:val="99"/>
    <w:semiHidden/>
    <w:unhideWhenUsed/>
    <w:rsid w:val="00CC07EB"/>
    <w:pPr>
      <w:bidi w:val="0"/>
      <w:spacing w:before="100" w:beforeAutospacing="1" w:after="100" w:afterAutospacing="1"/>
    </w:pPr>
    <w:rPr>
      <w:rFonts w:eastAsiaTheme="minorEastAsia" w:cs="Times New Roman"/>
      <w:noProof w:val="0"/>
    </w:rPr>
  </w:style>
  <w:style w:type="character" w:styleId="Hyperlink">
    <w:name w:val="Hyperlink"/>
    <w:basedOn w:val="a0"/>
    <w:uiPriority w:val="99"/>
    <w:semiHidden/>
    <w:unhideWhenUsed/>
    <w:rsid w:val="00CC07EB"/>
    <w:rPr>
      <w:color w:val="0000FF"/>
      <w:u w:val="single"/>
    </w:rPr>
  </w:style>
  <w:style w:type="paragraph" w:customStyle="1" w:styleId="1">
    <w:name w:val="פיסקת רשימה1"/>
    <w:basedOn w:val="a"/>
    <w:qFormat/>
    <w:rsid w:val="00CC07EB"/>
    <w:pPr>
      <w:ind w:left="720"/>
      <w:contextualSpacing/>
    </w:pPr>
  </w:style>
  <w:style w:type="paragraph" w:customStyle="1" w:styleId="Ruller4">
    <w:name w:val="Ruller4"/>
    <w:basedOn w:val="a"/>
    <w:rsid w:val="00CC07EB"/>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table" w:styleId="a5">
    <w:name w:val="Table Grid"/>
    <w:basedOn w:val="a1"/>
    <w:rsid w:val="00CC07E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811003">
      <w:bodyDiv w:val="1"/>
      <w:marLeft w:val="0"/>
      <w:marRight w:val="0"/>
      <w:marTop w:val="0"/>
      <w:marBottom w:val="0"/>
      <w:divBdr>
        <w:top w:val="none" w:sz="0" w:space="0" w:color="auto"/>
        <w:left w:val="none" w:sz="0" w:space="0" w:color="auto"/>
        <w:bottom w:val="none" w:sz="0" w:space="0" w:color="auto"/>
        <w:right w:val="none" w:sz="0" w:space="0" w:color="auto"/>
      </w:divBdr>
    </w:div>
    <w:div w:id="105692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nevo.co.il/case/2485555" TargetMode="External"/><Relationship Id="rId4" Type="http://schemas.openxmlformats.org/officeDocument/2006/relationships/image" Target="media/image1.png"/><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479FF2D62F4D30AD9229A2F66F4986"/>
        <w:category>
          <w:name w:val="כללי"/>
          <w:gallery w:val="placeholder"/>
        </w:category>
        <w:types>
          <w:type w:val="bbPlcHdr"/>
        </w:types>
        <w:behaviors>
          <w:behavior w:val="content"/>
        </w:behaviors>
        <w:guid w:val="{A3267200-07FA-43DE-B059-6D579AE1E1DB}"/>
      </w:docPartPr>
      <w:docPartBody>
        <w:p w:rsidR="00077E20" w:rsidRDefault="00A53B29" w:rsidP="00A53B29">
          <w:pPr>
            <w:pStyle w:val="AE479FF2D62F4D30AD9229A2F66F4986"/>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B29"/>
    <w:rsid w:val="00077E20"/>
    <w:rsid w:val="00A30290"/>
    <w:rsid w:val="00A53B29"/>
    <w:rsid w:val="00AE1181"/>
    <w:rsid w:val="00BD71B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E479FF2D62F4D30AD9229A2F66F4986">
    <w:name w:val="AE479FF2D62F4D30AD9229A2F66F4986"/>
    <w:rsid w:val="00A53B2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1496</Words>
  <Characters>7481</Characters>
  <Application>Microsoft Office Word</Application>
  <DocSecurity>0</DocSecurity>
  <Lines>62</Lines>
  <Paragraphs>17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dcterms:created xsi:type="dcterms:W3CDTF">2024-09-03T06:41:00Z</dcterms:created>
  <dcterms:modified xsi:type="dcterms:W3CDTF">2024-09-03T06:41:00Z</dcterms:modified>
</cp:coreProperties>
</file>